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CFBA0" w14:textId="6CA6FC75" w:rsidR="00857D1E" w:rsidRDefault="00DB0432" w:rsidP="00857D1E">
      <w:pPr>
        <w:shd w:val="clear" w:color="auto" w:fill="F3F3F3"/>
        <w:spacing w:after="0" w:line="240" w:lineRule="auto"/>
        <w:ind w:right="13"/>
        <w:jc w:val="center"/>
        <w:rPr>
          <w:rFonts w:ascii="Times New Roman" w:eastAsia="Arial Unicode MS" w:hAnsi="Times New Roman" w:cs="Times New Roman"/>
          <w:b/>
          <w:bCs/>
        </w:rPr>
      </w:pPr>
      <w:bookmarkStart w:id="0" w:name="_GoBack"/>
      <w:bookmarkEnd w:id="0"/>
      <w:r>
        <w:rPr>
          <w:rFonts w:ascii="Times New Roman" w:eastAsia="Arial Unicode MS" w:hAnsi="Times New Roman" w:cs="Times New Roman"/>
          <w:b/>
          <w:bCs/>
        </w:rPr>
        <w:t>INFORMAZIONE-FORMAZIONE</w:t>
      </w:r>
    </w:p>
    <w:p w14:paraId="58FE2BF3" w14:textId="5C8B0325" w:rsidR="00857D1E" w:rsidRDefault="00857D1E" w:rsidP="00857D1E">
      <w:pPr>
        <w:shd w:val="clear" w:color="auto" w:fill="F3F3F3"/>
        <w:spacing w:after="0" w:line="240" w:lineRule="auto"/>
        <w:ind w:right="13"/>
        <w:jc w:val="center"/>
        <w:rPr>
          <w:rFonts w:ascii="Times New Roman" w:eastAsia="Arial Unicode MS" w:hAnsi="Times New Roman" w:cs="Times New Roman"/>
          <w:b/>
          <w:bCs/>
        </w:rPr>
      </w:pPr>
      <w:r>
        <w:rPr>
          <w:rFonts w:ascii="Times New Roman" w:eastAsia="Arial Unicode MS" w:hAnsi="Times New Roman" w:cs="Times New Roman"/>
          <w:b/>
          <w:bCs/>
        </w:rPr>
        <w:t xml:space="preserve"> </w:t>
      </w:r>
      <w:r w:rsidR="00DB0432">
        <w:rPr>
          <w:rFonts w:ascii="Times New Roman" w:eastAsia="Arial Unicode MS" w:hAnsi="Times New Roman" w:cs="Times New Roman"/>
          <w:b/>
          <w:bCs/>
        </w:rPr>
        <w:t>su</w:t>
      </w:r>
      <w:r>
        <w:rPr>
          <w:rFonts w:ascii="Times New Roman" w:eastAsia="Arial Unicode MS" w:hAnsi="Times New Roman" w:cs="Times New Roman"/>
          <w:b/>
          <w:bCs/>
        </w:rPr>
        <w:t>l nuovo stralcio del CCDI 20</w:t>
      </w:r>
      <w:r w:rsidR="00DB0432">
        <w:rPr>
          <w:rFonts w:ascii="Times New Roman" w:eastAsia="Arial Unicode MS" w:hAnsi="Times New Roman" w:cs="Times New Roman"/>
          <w:b/>
          <w:bCs/>
        </w:rPr>
        <w:t>2</w:t>
      </w:r>
      <w:r w:rsidR="007910EF">
        <w:rPr>
          <w:rFonts w:ascii="Times New Roman" w:eastAsia="Arial Unicode MS" w:hAnsi="Times New Roman" w:cs="Times New Roman"/>
          <w:b/>
          <w:bCs/>
        </w:rPr>
        <w:t>1</w:t>
      </w:r>
      <w:r w:rsidR="000668DC">
        <w:rPr>
          <w:rFonts w:ascii="Times New Roman" w:eastAsia="Arial Unicode MS" w:hAnsi="Times New Roman" w:cs="Times New Roman"/>
          <w:b/>
          <w:bCs/>
        </w:rPr>
        <w:t xml:space="preserve"> per il personale della Giunta della Regione Campania escluso quello con qualifica dirigenziale</w:t>
      </w:r>
    </w:p>
    <w:p w14:paraId="29E8E8D0" w14:textId="77777777" w:rsidR="00857D1E" w:rsidRDefault="00857D1E" w:rsidP="00857D1E">
      <w:pPr>
        <w:shd w:val="clear" w:color="auto" w:fill="F3F3F3"/>
        <w:spacing w:after="0" w:line="240" w:lineRule="auto"/>
        <w:ind w:right="13"/>
        <w:jc w:val="center"/>
        <w:rPr>
          <w:rFonts w:ascii="Times New Roman" w:eastAsia="Arial Unicode MS" w:hAnsi="Times New Roman" w:cs="Times New Roman"/>
          <w:b/>
          <w:bCs/>
        </w:rPr>
      </w:pPr>
    </w:p>
    <w:p w14:paraId="67383DBD" w14:textId="77777777" w:rsidR="00857D1E" w:rsidRDefault="00857D1E" w:rsidP="00857D1E">
      <w:pPr>
        <w:shd w:val="clear" w:color="auto" w:fill="F3F3F3"/>
        <w:spacing w:after="0" w:line="240" w:lineRule="auto"/>
        <w:ind w:right="13"/>
        <w:jc w:val="center"/>
        <w:rPr>
          <w:rFonts w:ascii="Times New Roman" w:eastAsia="Arial Unicode MS" w:hAnsi="Times New Roman" w:cs="Times New Roman"/>
          <w:b/>
          <w:bCs/>
        </w:rPr>
      </w:pPr>
    </w:p>
    <w:p w14:paraId="73A5751E" w14:textId="77777777" w:rsidR="00857D1E" w:rsidRDefault="00857D1E" w:rsidP="00857D1E">
      <w:pPr>
        <w:spacing w:after="0" w:line="240" w:lineRule="auto"/>
        <w:jc w:val="center"/>
        <w:rPr>
          <w:rFonts w:ascii="Times New Roman" w:hAnsi="Times New Roman" w:cs="Times New Roman"/>
          <w:b/>
          <w:bCs/>
        </w:rPr>
      </w:pPr>
    </w:p>
    <w:p w14:paraId="2D8AEA99" w14:textId="77777777" w:rsidR="00857D1E" w:rsidRDefault="00857D1E" w:rsidP="00857D1E">
      <w:pPr>
        <w:spacing w:after="0" w:line="240" w:lineRule="auto"/>
        <w:jc w:val="center"/>
        <w:rPr>
          <w:rFonts w:ascii="Times New Roman" w:hAnsi="Times New Roman" w:cs="Times New Roman"/>
          <w:b/>
          <w:bCs/>
        </w:rPr>
      </w:pPr>
      <w:r>
        <w:rPr>
          <w:rFonts w:ascii="Times New Roman" w:hAnsi="Times New Roman" w:cs="Times New Roman"/>
          <w:b/>
          <w:bCs/>
        </w:rPr>
        <w:t>CHE COSA CAMBIA ?</w:t>
      </w:r>
    </w:p>
    <w:p w14:paraId="4556BC3C" w14:textId="77777777" w:rsidR="00857D1E" w:rsidRDefault="00857D1E" w:rsidP="00857D1E">
      <w:pPr>
        <w:spacing w:after="0" w:line="240" w:lineRule="auto"/>
        <w:jc w:val="center"/>
        <w:rPr>
          <w:rFonts w:ascii="Times New Roman" w:hAnsi="Times New Roman" w:cs="Times New Roman"/>
          <w:b/>
          <w:bCs/>
        </w:rPr>
      </w:pPr>
    </w:p>
    <w:p w14:paraId="2B801CAB" w14:textId="716849FF" w:rsidR="00857D1E" w:rsidRDefault="00857D1E" w:rsidP="00857D1E">
      <w:pPr>
        <w:tabs>
          <w:tab w:val="left" w:pos="1080"/>
        </w:tabs>
        <w:autoSpaceDE w:val="0"/>
        <w:spacing w:after="0" w:line="240" w:lineRule="auto"/>
        <w:jc w:val="both"/>
        <w:rPr>
          <w:rFonts w:ascii="Times New Roman" w:hAnsi="Times New Roman" w:cs="Times New Roman"/>
        </w:rPr>
      </w:pPr>
      <w:r>
        <w:rPr>
          <w:rFonts w:ascii="Times New Roman" w:hAnsi="Times New Roman" w:cs="Times New Roman"/>
        </w:rPr>
        <w:t>In data 2</w:t>
      </w:r>
      <w:r w:rsidR="00DB0432">
        <w:rPr>
          <w:rFonts w:ascii="Times New Roman" w:hAnsi="Times New Roman" w:cs="Times New Roman"/>
        </w:rPr>
        <w:t>3 dicembre 2021</w:t>
      </w:r>
      <w:r>
        <w:rPr>
          <w:rFonts w:ascii="Times New Roman" w:hAnsi="Times New Roman" w:cs="Times New Roman"/>
        </w:rPr>
        <w:t xml:space="preserve"> si è provveduto alla sottoscrizione definitiva del nuovo stralcio del contratto decentrato integrativo per il personale della Giunta Regionale della Campania escluso quello con qualifica dirigenziale</w:t>
      </w:r>
      <w:r w:rsidR="00DB0432">
        <w:rPr>
          <w:rFonts w:ascii="Times New Roman" w:hAnsi="Times New Roman" w:cs="Times New Roman"/>
        </w:rPr>
        <w:t>,</w:t>
      </w:r>
      <w:r w:rsidR="001B1799">
        <w:rPr>
          <w:rFonts w:ascii="Times New Roman" w:hAnsi="Times New Roman" w:cs="Times New Roman"/>
        </w:rPr>
        <w:t xml:space="preserve"> a seguito della D.G.R.C. n. 543 del 30 novembre 2021</w:t>
      </w:r>
      <w:r>
        <w:rPr>
          <w:rFonts w:ascii="Times New Roman" w:hAnsi="Times New Roman" w:cs="Times New Roman"/>
        </w:rPr>
        <w:t>.</w:t>
      </w:r>
    </w:p>
    <w:p w14:paraId="6CD8A1E9" w14:textId="77777777" w:rsidR="00857D1E" w:rsidRDefault="00857D1E" w:rsidP="00857D1E">
      <w:pPr>
        <w:tabs>
          <w:tab w:val="left" w:pos="1080"/>
        </w:tabs>
        <w:autoSpaceDE w:val="0"/>
        <w:spacing w:after="0" w:line="240" w:lineRule="auto"/>
        <w:jc w:val="both"/>
        <w:rPr>
          <w:rFonts w:ascii="Times New Roman" w:hAnsi="Times New Roman" w:cs="Times New Roman"/>
        </w:rPr>
      </w:pPr>
    </w:p>
    <w:p w14:paraId="4DC86706" w14:textId="751611A2" w:rsidR="00857D1E" w:rsidRDefault="00857D1E" w:rsidP="00857D1E">
      <w:pPr>
        <w:pStyle w:val="BodyText"/>
        <w:tabs>
          <w:tab w:val="left" w:pos="9638"/>
        </w:tabs>
        <w:ind w:right="-82"/>
        <w:jc w:val="both"/>
        <w:rPr>
          <w:sz w:val="22"/>
          <w:szCs w:val="22"/>
        </w:rPr>
      </w:pPr>
      <w:r>
        <w:rPr>
          <w:sz w:val="22"/>
          <w:szCs w:val="22"/>
        </w:rPr>
        <w:t>Il nuovo schema di CCD</w:t>
      </w:r>
      <w:r w:rsidR="00DB0432">
        <w:rPr>
          <w:sz w:val="22"/>
          <w:szCs w:val="22"/>
        </w:rPr>
        <w:t>I</w:t>
      </w:r>
      <w:r>
        <w:rPr>
          <w:sz w:val="22"/>
          <w:szCs w:val="22"/>
        </w:rPr>
        <w:t xml:space="preserve"> disciplina la cornice di regole generali riguardanti la gestione del personale, </w:t>
      </w:r>
      <w:r w:rsidR="000668DC">
        <w:rPr>
          <w:sz w:val="22"/>
          <w:szCs w:val="22"/>
        </w:rPr>
        <w:t xml:space="preserve">alla luce delle novità introdotte dall’ultimo CCNL del 2018 Funzioni Locali, </w:t>
      </w:r>
      <w:r>
        <w:rPr>
          <w:sz w:val="22"/>
          <w:szCs w:val="22"/>
        </w:rPr>
        <w:t>riconfermando la validità delle regole contenute nei precedenti CC.DD.II., laddove queste risultino conformi con le nuove disposizioni normative</w:t>
      </w:r>
      <w:r w:rsidR="000668DC">
        <w:rPr>
          <w:sz w:val="22"/>
          <w:szCs w:val="22"/>
        </w:rPr>
        <w:t xml:space="preserve"> nazionali di riferimento</w:t>
      </w:r>
      <w:r>
        <w:rPr>
          <w:sz w:val="22"/>
          <w:szCs w:val="22"/>
        </w:rPr>
        <w:t>.</w:t>
      </w:r>
    </w:p>
    <w:p w14:paraId="1C2522EE" w14:textId="77777777" w:rsidR="00857D1E" w:rsidRDefault="00857D1E" w:rsidP="00857D1E">
      <w:pPr>
        <w:pStyle w:val="BodyText"/>
        <w:tabs>
          <w:tab w:val="left" w:pos="9638"/>
        </w:tabs>
        <w:ind w:right="-82"/>
        <w:jc w:val="both"/>
        <w:rPr>
          <w:sz w:val="22"/>
          <w:szCs w:val="22"/>
        </w:rPr>
      </w:pPr>
    </w:p>
    <w:p w14:paraId="57B9BE74" w14:textId="2A6A8D82" w:rsidR="00857D1E" w:rsidRDefault="00857D1E" w:rsidP="00857D1E">
      <w:pPr>
        <w:tabs>
          <w:tab w:val="left" w:pos="1080"/>
        </w:tabs>
        <w:autoSpaceDE w:val="0"/>
        <w:spacing w:after="0" w:line="240" w:lineRule="auto"/>
        <w:jc w:val="both"/>
        <w:rPr>
          <w:rFonts w:ascii="Times New Roman" w:hAnsi="Times New Roman" w:cs="Times New Roman"/>
        </w:rPr>
      </w:pPr>
      <w:r>
        <w:rPr>
          <w:rFonts w:ascii="Times New Roman" w:hAnsi="Times New Roman" w:cs="Times New Roman"/>
        </w:rPr>
        <w:t>Al fine di assicurare la corretta conoscenza e diffusione del nuovo stralcio del CCDI 20</w:t>
      </w:r>
      <w:r w:rsidR="00DB0432">
        <w:rPr>
          <w:rFonts w:ascii="Times New Roman" w:hAnsi="Times New Roman" w:cs="Times New Roman"/>
        </w:rPr>
        <w:t>21</w:t>
      </w:r>
      <w:r w:rsidR="00FB35CA">
        <w:rPr>
          <w:rFonts w:ascii="Times New Roman" w:hAnsi="Times New Roman" w:cs="Times New Roman"/>
        </w:rPr>
        <w:t>, che come</w:t>
      </w:r>
      <w:r w:rsidR="007910EF">
        <w:rPr>
          <w:rFonts w:ascii="Times New Roman" w:hAnsi="Times New Roman" w:cs="Times New Roman"/>
        </w:rPr>
        <w:t xml:space="preserve"> è </w:t>
      </w:r>
      <w:r w:rsidR="00FB35CA">
        <w:rPr>
          <w:rFonts w:ascii="Times New Roman" w:hAnsi="Times New Roman" w:cs="Times New Roman"/>
        </w:rPr>
        <w:t>noto risulta pubblicato sul sito istituzionale dell’ente alla sezione “Amministrazione trasparente”- “Personale”-“Contratti Integrativ</w:t>
      </w:r>
      <w:r w:rsidR="001B1799">
        <w:rPr>
          <w:rFonts w:ascii="Times New Roman" w:hAnsi="Times New Roman" w:cs="Times New Roman"/>
        </w:rPr>
        <w:t>i</w:t>
      </w:r>
      <w:r w:rsidR="00FB35CA">
        <w:rPr>
          <w:rFonts w:ascii="Times New Roman" w:hAnsi="Times New Roman" w:cs="Times New Roman"/>
        </w:rPr>
        <w:t>”,</w:t>
      </w:r>
      <w:r>
        <w:rPr>
          <w:rFonts w:ascii="Times New Roman" w:hAnsi="Times New Roman" w:cs="Times New Roman"/>
        </w:rPr>
        <w:t xml:space="preserve">  si  ripercorrono </w:t>
      </w:r>
      <w:r w:rsidR="002F028D">
        <w:rPr>
          <w:rFonts w:ascii="Times New Roman" w:hAnsi="Times New Roman" w:cs="Times New Roman"/>
        </w:rPr>
        <w:t>di seguito</w:t>
      </w:r>
      <w:r>
        <w:rPr>
          <w:rFonts w:ascii="Times New Roman" w:hAnsi="Times New Roman" w:cs="Times New Roman"/>
        </w:rPr>
        <w:t xml:space="preserve"> </w:t>
      </w:r>
      <w:r w:rsidR="00881497">
        <w:rPr>
          <w:rFonts w:ascii="Times New Roman" w:hAnsi="Times New Roman" w:cs="Times New Roman"/>
        </w:rPr>
        <w:t xml:space="preserve">brevemente </w:t>
      </w:r>
      <w:r>
        <w:rPr>
          <w:rFonts w:ascii="Times New Roman" w:hAnsi="Times New Roman" w:cs="Times New Roman"/>
        </w:rPr>
        <w:t>le modifiche</w:t>
      </w:r>
      <w:r w:rsidR="00FB35CA">
        <w:rPr>
          <w:rFonts w:ascii="Times New Roman" w:hAnsi="Times New Roman" w:cs="Times New Roman"/>
        </w:rPr>
        <w:t>/novità</w:t>
      </w:r>
      <w:r>
        <w:rPr>
          <w:rFonts w:ascii="Times New Roman" w:hAnsi="Times New Roman" w:cs="Times New Roman"/>
        </w:rPr>
        <w:t xml:space="preserve"> di maggiore rilievo:</w:t>
      </w:r>
    </w:p>
    <w:p w14:paraId="397024CD" w14:textId="77777777" w:rsidR="00857D1E" w:rsidRDefault="00857D1E" w:rsidP="00857D1E">
      <w:pPr>
        <w:pStyle w:val="BodyText"/>
        <w:tabs>
          <w:tab w:val="left" w:pos="9638"/>
        </w:tabs>
        <w:ind w:right="-82"/>
        <w:jc w:val="both"/>
        <w:rPr>
          <w:sz w:val="22"/>
          <w:szCs w:val="22"/>
        </w:rPr>
      </w:pPr>
    </w:p>
    <w:p w14:paraId="6B6460A2" w14:textId="54C38419" w:rsidR="00DB0432" w:rsidRDefault="00DB0432" w:rsidP="00DB0432">
      <w:pPr>
        <w:pStyle w:val="ListParagraph"/>
        <w:numPr>
          <w:ilvl w:val="0"/>
          <w:numId w:val="1"/>
        </w:numPr>
        <w:tabs>
          <w:tab w:val="left" w:pos="9214"/>
        </w:tabs>
        <w:spacing w:before="120" w:after="100"/>
        <w:ind w:right="409"/>
        <w:jc w:val="both"/>
        <w:rPr>
          <w:rFonts w:ascii="Times New Roman" w:eastAsia="Garamond" w:hAnsi="Times New Roman" w:cs="Times New Roman"/>
          <w:color w:val="000000"/>
        </w:rPr>
      </w:pPr>
      <w:r w:rsidRPr="00DB0432">
        <w:rPr>
          <w:rFonts w:ascii="Times New Roman" w:hAnsi="Times New Roman" w:cs="Times New Roman"/>
        </w:rPr>
        <w:t xml:space="preserve">All’art. 8 è stato disciplinato </w:t>
      </w:r>
      <w:r w:rsidRPr="00881497">
        <w:rPr>
          <w:rFonts w:ascii="Times New Roman" w:eastAsia="Garamond" w:hAnsi="Times New Roman" w:cs="Times New Roman"/>
          <w:b/>
          <w:bCs/>
          <w:color w:val="000000"/>
        </w:rPr>
        <w:t>l’</w:t>
      </w:r>
      <w:r w:rsidR="00D0123E" w:rsidRPr="00881497">
        <w:rPr>
          <w:rFonts w:ascii="Times New Roman" w:eastAsia="Garamond" w:hAnsi="Times New Roman" w:cs="Times New Roman"/>
          <w:b/>
          <w:bCs/>
          <w:color w:val="000000"/>
        </w:rPr>
        <w:t>O</w:t>
      </w:r>
      <w:r w:rsidRPr="00881497">
        <w:rPr>
          <w:rFonts w:ascii="Times New Roman" w:eastAsia="Garamond" w:hAnsi="Times New Roman" w:cs="Times New Roman"/>
          <w:b/>
          <w:bCs/>
          <w:color w:val="000000"/>
        </w:rPr>
        <w:t>rganismo paritetico per l’innovazione</w:t>
      </w:r>
      <w:r w:rsidRPr="00DB0432">
        <w:rPr>
          <w:rFonts w:ascii="Times New Roman" w:eastAsia="Garamond" w:hAnsi="Times New Roman" w:cs="Times New Roman"/>
          <w:color w:val="000000"/>
        </w:rPr>
        <w:t xml:space="preserve"> che realizza una modalità relazionale finalizzata al coinvolgimento partecipativo delle organizzazioni sindacali firmatarie del CCNL 2016 - 2018, su tutto ciò che abbia una dimensione progettuale, complessa e sperimentale, di carattere organizzativo dell’ente.  L’organismo in questione è la sede in cui si attivano stabilmente relazioni aperte e collaborative su progetti di organizzazione e innovazione, miglioramento dei servizi - anche con riferimento alle politiche formative, al lavoro agile ed alla conciliazione dei tempi di vita e di lavoro - al fine di formulare proposte all'ente o alle parti negoziali della contrattazione integrativa.</w:t>
      </w:r>
    </w:p>
    <w:p w14:paraId="108342F4" w14:textId="6BAFA50C" w:rsidR="002F028D" w:rsidRPr="002F028D" w:rsidRDefault="00DB0432" w:rsidP="002F028D">
      <w:pPr>
        <w:pStyle w:val="ListParagraph"/>
        <w:numPr>
          <w:ilvl w:val="0"/>
          <w:numId w:val="1"/>
        </w:numPr>
        <w:tabs>
          <w:tab w:val="left" w:pos="720"/>
          <w:tab w:val="left" w:pos="9214"/>
        </w:tabs>
        <w:spacing w:before="120" w:after="100"/>
        <w:ind w:right="409"/>
        <w:jc w:val="both"/>
        <w:rPr>
          <w:rFonts w:ascii="Garamond" w:eastAsia="Garamond" w:hAnsi="Garamond" w:cs="Garamond"/>
          <w:color w:val="000000"/>
          <w:sz w:val="19"/>
        </w:rPr>
      </w:pPr>
      <w:r w:rsidRPr="002F028D">
        <w:rPr>
          <w:rFonts w:ascii="Times New Roman" w:eastAsia="Garamond" w:hAnsi="Times New Roman" w:cs="Times New Roman"/>
          <w:color w:val="000000"/>
        </w:rPr>
        <w:t xml:space="preserve">In materia </w:t>
      </w:r>
      <w:r w:rsidRPr="00881497">
        <w:rPr>
          <w:rFonts w:ascii="Times New Roman" w:eastAsia="Garamond" w:hAnsi="Times New Roman" w:cs="Times New Roman"/>
          <w:b/>
          <w:bCs/>
          <w:color w:val="000000"/>
        </w:rPr>
        <w:t>di incentivazione della produttività</w:t>
      </w:r>
      <w:r w:rsidRPr="002F028D">
        <w:rPr>
          <w:rFonts w:ascii="Times New Roman" w:eastAsia="Garamond" w:hAnsi="Times New Roman" w:cs="Times New Roman"/>
          <w:color w:val="000000"/>
        </w:rPr>
        <w:t xml:space="preserve"> all’ar</w:t>
      </w:r>
      <w:r w:rsidR="002F028D" w:rsidRPr="002F028D">
        <w:rPr>
          <w:rFonts w:ascii="Times New Roman" w:eastAsia="Garamond" w:hAnsi="Times New Roman" w:cs="Times New Roman"/>
          <w:color w:val="000000"/>
        </w:rPr>
        <w:t>t.15</w:t>
      </w:r>
      <w:r w:rsidRPr="002F028D">
        <w:rPr>
          <w:rFonts w:ascii="Times New Roman" w:eastAsia="Garamond" w:hAnsi="Times New Roman" w:cs="Times New Roman"/>
          <w:color w:val="000000"/>
        </w:rPr>
        <w:t xml:space="preserve"> viene previsto che </w:t>
      </w:r>
      <w:r w:rsidR="002F028D" w:rsidRPr="002F028D">
        <w:rPr>
          <w:rFonts w:ascii="Times New Roman" w:eastAsia="Garamond" w:hAnsi="Times New Roman" w:cs="Times New Roman"/>
          <w:color w:val="000000"/>
        </w:rPr>
        <w:t>costituisce requisito minimo di accesso al sistema premiante, per tutti i dipendenti del comparto inclusi i titolari di posizione organizzativa, pur non incidendo sull’entità dei premi, una presenza in servizio di almeno 15 giorni effettivi. Inoltre</w:t>
      </w:r>
      <w:r w:rsidR="00A821E1">
        <w:rPr>
          <w:rFonts w:ascii="Times New Roman" w:eastAsia="Garamond" w:hAnsi="Times New Roman" w:cs="Times New Roman"/>
          <w:color w:val="000000"/>
        </w:rPr>
        <w:t>,</w:t>
      </w:r>
      <w:r w:rsidR="002F028D" w:rsidRPr="002F028D">
        <w:rPr>
          <w:rFonts w:ascii="Times New Roman" w:eastAsia="Garamond" w:hAnsi="Times New Roman" w:cs="Times New Roman"/>
          <w:color w:val="000000"/>
        </w:rPr>
        <w:t xml:space="preserve"> </w:t>
      </w:r>
      <w:r w:rsidR="002F028D">
        <w:rPr>
          <w:rFonts w:ascii="Times New Roman" w:eastAsia="Garamond" w:hAnsi="Times New Roman" w:cs="Times New Roman"/>
          <w:color w:val="000000"/>
        </w:rPr>
        <w:t xml:space="preserve">si prevede che i </w:t>
      </w:r>
      <w:r w:rsidR="002F028D" w:rsidRPr="002F028D">
        <w:rPr>
          <w:rFonts w:ascii="Times New Roman" w:eastAsia="Garamond" w:hAnsi="Times New Roman" w:cs="Times New Roman"/>
          <w:color w:val="000000"/>
        </w:rPr>
        <w:t>premi correlati alla performance, attribuiti in osservanza al vigente SMIVAP, spettanti al personale in part-time sono ridotti in misura proporzionale al regime orario adottato nel periodo di valutazione.</w:t>
      </w:r>
    </w:p>
    <w:p w14:paraId="1D54F88B" w14:textId="28BAFAE6" w:rsidR="00881497" w:rsidRPr="00881497" w:rsidRDefault="002F028D" w:rsidP="00881497">
      <w:pPr>
        <w:pStyle w:val="ListParagraph"/>
        <w:numPr>
          <w:ilvl w:val="0"/>
          <w:numId w:val="1"/>
        </w:numPr>
        <w:tabs>
          <w:tab w:val="left" w:pos="720"/>
          <w:tab w:val="left" w:pos="9214"/>
        </w:tabs>
        <w:spacing w:before="120" w:after="100"/>
        <w:ind w:right="409"/>
        <w:jc w:val="both"/>
        <w:rPr>
          <w:rFonts w:ascii="Garamond" w:eastAsia="Garamond" w:hAnsi="Garamond" w:cs="Garamond"/>
          <w:color w:val="000000"/>
          <w:sz w:val="19"/>
        </w:rPr>
      </w:pPr>
      <w:r w:rsidRPr="002F028D">
        <w:rPr>
          <w:rFonts w:ascii="Times New Roman" w:eastAsia="Garamond" w:hAnsi="Times New Roman" w:cs="Times New Roman"/>
          <w:color w:val="000000"/>
        </w:rPr>
        <w:t xml:space="preserve">Sempre all’art. 15 </w:t>
      </w:r>
      <w:r>
        <w:rPr>
          <w:rFonts w:ascii="Times New Roman" w:eastAsia="Garamond" w:hAnsi="Times New Roman" w:cs="Times New Roman"/>
          <w:color w:val="000000"/>
        </w:rPr>
        <w:t xml:space="preserve">vengono </w:t>
      </w:r>
      <w:r w:rsidR="00D0123E">
        <w:rPr>
          <w:rFonts w:ascii="Times New Roman" w:eastAsia="Garamond" w:hAnsi="Times New Roman" w:cs="Times New Roman"/>
          <w:color w:val="000000"/>
        </w:rPr>
        <w:t xml:space="preserve">inoltre </w:t>
      </w:r>
      <w:r>
        <w:rPr>
          <w:rFonts w:ascii="Times New Roman" w:eastAsia="Garamond" w:hAnsi="Times New Roman" w:cs="Times New Roman"/>
          <w:color w:val="000000"/>
        </w:rPr>
        <w:t xml:space="preserve">disciplinati dei </w:t>
      </w:r>
      <w:r w:rsidRPr="00881497">
        <w:rPr>
          <w:rFonts w:ascii="Times New Roman" w:eastAsia="Garamond" w:hAnsi="Times New Roman" w:cs="Times New Roman"/>
          <w:b/>
          <w:bCs/>
          <w:color w:val="000000"/>
          <w:lang w:eastAsia="hi-IN" w:bidi="hi-IN"/>
        </w:rPr>
        <w:t>Criteri di bilanciamento</w:t>
      </w:r>
      <w:r>
        <w:rPr>
          <w:rFonts w:ascii="Times New Roman" w:eastAsia="Garamond" w:hAnsi="Times New Roman" w:cs="Times New Roman"/>
          <w:color w:val="000000"/>
          <w:lang w:eastAsia="hi-IN" w:bidi="hi-IN"/>
        </w:rPr>
        <w:t>, al</w:t>
      </w:r>
      <w:r w:rsidRPr="002F028D">
        <w:rPr>
          <w:rFonts w:ascii="Times New Roman" w:eastAsia="Garamond" w:hAnsi="Times New Roman" w:cs="Times New Roman"/>
          <w:color w:val="000000"/>
          <w:lang w:eastAsia="hi-IN" w:bidi="hi-IN"/>
        </w:rPr>
        <w:t xml:space="preserve"> fin</w:t>
      </w:r>
      <w:r>
        <w:rPr>
          <w:rFonts w:ascii="Times New Roman" w:eastAsia="Garamond" w:hAnsi="Times New Roman" w:cs="Times New Roman"/>
          <w:color w:val="000000"/>
          <w:lang w:eastAsia="hi-IN" w:bidi="hi-IN"/>
        </w:rPr>
        <w:t>e</w:t>
      </w:r>
      <w:r w:rsidRPr="002F028D">
        <w:rPr>
          <w:rFonts w:ascii="Times New Roman" w:eastAsia="Garamond" w:hAnsi="Times New Roman" w:cs="Times New Roman"/>
          <w:color w:val="000000"/>
          <w:lang w:eastAsia="hi-IN" w:bidi="hi-IN"/>
        </w:rPr>
        <w:t xml:space="preserve"> di ottenere una distribuzione equilibrata delle somme destinate ad incentivare la produttività dei dipendenti</w:t>
      </w:r>
      <w:r>
        <w:rPr>
          <w:rFonts w:ascii="Times New Roman" w:eastAsia="Garamond" w:hAnsi="Times New Roman" w:cs="Times New Roman"/>
          <w:color w:val="000000"/>
          <w:lang w:eastAsia="hi-IN" w:bidi="hi-IN"/>
        </w:rPr>
        <w:t xml:space="preserve"> con</w:t>
      </w:r>
      <w:r w:rsidRPr="002F028D">
        <w:rPr>
          <w:rFonts w:ascii="Times New Roman" w:eastAsia="Garamond" w:hAnsi="Times New Roman" w:cs="Times New Roman"/>
          <w:color w:val="000000"/>
          <w:lang w:eastAsia="hi-IN" w:bidi="hi-IN"/>
        </w:rPr>
        <w:t xml:space="preserve"> incentivi specifici</w:t>
      </w:r>
      <w:r w:rsidR="00881497">
        <w:rPr>
          <w:rFonts w:ascii="Times New Roman" w:eastAsia="Garamond" w:hAnsi="Times New Roman" w:cs="Times New Roman"/>
          <w:color w:val="000000"/>
          <w:lang w:eastAsia="hi-IN" w:bidi="hi-IN"/>
        </w:rPr>
        <w:t>.</w:t>
      </w:r>
    </w:p>
    <w:p w14:paraId="63F851E4" w14:textId="5C047EFA" w:rsidR="002F028D" w:rsidRPr="00FF1EB2" w:rsidRDefault="00D0123E" w:rsidP="00FF1EB2">
      <w:pPr>
        <w:pStyle w:val="ListParagraph"/>
        <w:numPr>
          <w:ilvl w:val="0"/>
          <w:numId w:val="1"/>
        </w:numPr>
        <w:tabs>
          <w:tab w:val="left" w:pos="720"/>
          <w:tab w:val="left" w:pos="9214"/>
        </w:tabs>
        <w:spacing w:before="120" w:after="100"/>
        <w:ind w:left="714" w:right="408" w:hanging="357"/>
        <w:jc w:val="both"/>
        <w:rPr>
          <w:rFonts w:ascii="Times New Roman" w:eastAsia="Garamond" w:hAnsi="Times New Roman" w:cs="Times New Roman"/>
          <w:color w:val="000000"/>
        </w:rPr>
      </w:pPr>
      <w:r w:rsidRPr="00881497">
        <w:rPr>
          <w:rFonts w:ascii="Times New Roman" w:eastAsia="Garamond" w:hAnsi="Times New Roman" w:cs="Times New Roman"/>
          <w:color w:val="000000"/>
        </w:rPr>
        <w:t>I</w:t>
      </w:r>
      <w:r w:rsidR="002F028D" w:rsidRPr="00881497">
        <w:rPr>
          <w:rFonts w:ascii="Times New Roman" w:eastAsia="Garamond" w:hAnsi="Times New Roman" w:cs="Times New Roman"/>
          <w:color w:val="000000"/>
        </w:rPr>
        <w:t xml:space="preserve">n sostituzione di quanto previsto </w:t>
      </w:r>
      <w:r w:rsidR="002F028D" w:rsidRPr="00881497">
        <w:rPr>
          <w:rFonts w:ascii="Times New Roman" w:eastAsia="Garamond" w:hAnsi="Times New Roman" w:cs="Times New Roman"/>
          <w:b/>
          <w:bCs/>
          <w:color w:val="000000"/>
        </w:rPr>
        <w:t>in materia di indennità di rischio e disagio</w:t>
      </w:r>
      <w:r w:rsidR="002F028D" w:rsidRPr="00881497">
        <w:rPr>
          <w:rFonts w:ascii="Times New Roman" w:eastAsia="Garamond" w:hAnsi="Times New Roman" w:cs="Times New Roman"/>
          <w:color w:val="000000"/>
        </w:rPr>
        <w:t xml:space="preserve"> nel precedente CCDI, l’Amministrazione, con </w:t>
      </w:r>
      <w:r w:rsidRPr="00881497">
        <w:rPr>
          <w:rFonts w:ascii="Times New Roman" w:eastAsia="Garamond" w:hAnsi="Times New Roman" w:cs="Times New Roman"/>
          <w:color w:val="000000"/>
        </w:rPr>
        <w:t>l’</w:t>
      </w:r>
      <w:r w:rsidR="002F028D" w:rsidRPr="00881497">
        <w:rPr>
          <w:rFonts w:ascii="Times New Roman" w:eastAsia="Garamond" w:hAnsi="Times New Roman" w:cs="Times New Roman"/>
          <w:color w:val="000000"/>
        </w:rPr>
        <w:t>articolo</w:t>
      </w:r>
      <w:r w:rsidRPr="00881497">
        <w:rPr>
          <w:rFonts w:ascii="Times New Roman" w:eastAsia="Garamond" w:hAnsi="Times New Roman" w:cs="Times New Roman"/>
          <w:color w:val="000000"/>
        </w:rPr>
        <w:t xml:space="preserve"> 16 del nuovo CCDI 2021, nel rispetto di quanto previsto a livello di CCNL, disciplina e prevede</w:t>
      </w:r>
      <w:r w:rsidR="002F028D" w:rsidRPr="00881497">
        <w:rPr>
          <w:rFonts w:ascii="Times New Roman" w:eastAsia="Garamond" w:hAnsi="Times New Roman" w:cs="Times New Roman"/>
          <w:color w:val="000000"/>
        </w:rPr>
        <w:t xml:space="preserve"> una unica “indennità condizioni di lavoro” destinata a remunerare lo svolgimento di attività</w:t>
      </w:r>
      <w:r w:rsidR="00881497" w:rsidRPr="00881497">
        <w:rPr>
          <w:rFonts w:ascii="Times New Roman" w:eastAsia="Garamond" w:hAnsi="Times New Roman" w:cs="Times New Roman"/>
          <w:color w:val="000000"/>
        </w:rPr>
        <w:t xml:space="preserve"> </w:t>
      </w:r>
      <w:r w:rsidR="002F028D" w:rsidRPr="00881497">
        <w:rPr>
          <w:rFonts w:ascii="Times New Roman" w:eastAsia="Garamond" w:hAnsi="Times New Roman" w:cs="Times New Roman"/>
          <w:color w:val="000000"/>
        </w:rPr>
        <w:t>disagiate</w:t>
      </w:r>
      <w:r w:rsidR="00881497" w:rsidRPr="00881497">
        <w:rPr>
          <w:rFonts w:ascii="Times New Roman" w:eastAsia="Garamond" w:hAnsi="Times New Roman" w:cs="Times New Roman"/>
          <w:color w:val="000000"/>
        </w:rPr>
        <w:t xml:space="preserve">, </w:t>
      </w:r>
      <w:r w:rsidR="002F028D" w:rsidRPr="00881497">
        <w:rPr>
          <w:rFonts w:ascii="Times New Roman" w:eastAsia="Garamond" w:hAnsi="Times New Roman" w:cs="Times New Roman"/>
          <w:color w:val="000000"/>
        </w:rPr>
        <w:t>esposte a rischi e, pertanto, pericolose o dannose per la salute</w:t>
      </w:r>
      <w:r w:rsidR="00881497" w:rsidRPr="00881497">
        <w:rPr>
          <w:rFonts w:ascii="Times New Roman" w:eastAsia="Garamond" w:hAnsi="Times New Roman" w:cs="Times New Roman"/>
          <w:color w:val="000000"/>
        </w:rPr>
        <w:t xml:space="preserve"> e </w:t>
      </w:r>
      <w:r w:rsidR="002F028D" w:rsidRPr="00881497">
        <w:rPr>
          <w:rFonts w:ascii="Times New Roman" w:eastAsia="Garamond" w:hAnsi="Times New Roman" w:cs="Times New Roman"/>
          <w:color w:val="000000"/>
        </w:rPr>
        <w:t>implicanti il maneggio di valori.</w:t>
      </w:r>
      <w:r w:rsidR="00881497" w:rsidRPr="00881497">
        <w:rPr>
          <w:rFonts w:ascii="Times New Roman" w:eastAsia="Garamond" w:hAnsi="Times New Roman" w:cs="Times New Roman"/>
          <w:color w:val="000000"/>
        </w:rPr>
        <w:t xml:space="preserve"> </w:t>
      </w:r>
      <w:r w:rsidR="002F028D" w:rsidRPr="00881497">
        <w:rPr>
          <w:rFonts w:ascii="Times New Roman" w:eastAsia="Garamond" w:hAnsi="Times New Roman" w:cs="Times New Roman"/>
          <w:color w:val="000000"/>
        </w:rPr>
        <w:t>L’indennità</w:t>
      </w:r>
      <w:r w:rsidRPr="00881497">
        <w:rPr>
          <w:rFonts w:ascii="Times New Roman" w:eastAsia="Garamond" w:hAnsi="Times New Roman" w:cs="Times New Roman"/>
          <w:color w:val="000000"/>
        </w:rPr>
        <w:t xml:space="preserve"> in questione</w:t>
      </w:r>
      <w:r w:rsidR="002F028D" w:rsidRPr="00881497">
        <w:rPr>
          <w:rFonts w:ascii="Times New Roman" w:eastAsia="Garamond" w:hAnsi="Times New Roman" w:cs="Times New Roman"/>
          <w:color w:val="000000"/>
        </w:rPr>
        <w:t xml:space="preserve"> è commisurata ai giorni di effettivo svolgimento delle</w:t>
      </w:r>
      <w:r w:rsidR="00881497" w:rsidRPr="00881497">
        <w:rPr>
          <w:rFonts w:ascii="Times New Roman" w:eastAsia="Garamond" w:hAnsi="Times New Roman" w:cs="Times New Roman"/>
          <w:color w:val="000000"/>
        </w:rPr>
        <w:t xml:space="preserve"> relative </w:t>
      </w:r>
      <w:r w:rsidR="002F028D" w:rsidRPr="00881497">
        <w:rPr>
          <w:rFonts w:ascii="Times New Roman" w:eastAsia="Garamond" w:hAnsi="Times New Roman" w:cs="Times New Roman"/>
          <w:color w:val="000000"/>
        </w:rPr>
        <w:t>attività.</w:t>
      </w:r>
      <w:r w:rsidR="00A821E1">
        <w:rPr>
          <w:rFonts w:ascii="Times New Roman" w:eastAsia="Garamond" w:hAnsi="Times New Roman" w:cs="Times New Roman"/>
          <w:color w:val="000000"/>
        </w:rPr>
        <w:t xml:space="preserve"> Si precisa che tale indennità, nelle sue tre Fasce, non può essere cumulata con l’indennità prevista dal successivo art. 17 se non con le modalità previste dall’art. 16, c. 13 del presente CCDI</w:t>
      </w:r>
      <w:r w:rsidR="00FF1EB2">
        <w:rPr>
          <w:rFonts w:ascii="Times New Roman" w:eastAsia="Garamond" w:hAnsi="Times New Roman" w:cs="Times New Roman"/>
          <w:color w:val="000000"/>
        </w:rPr>
        <w:t xml:space="preserve">. L’individuazione delle categorie di lavoratori interessati alla </w:t>
      </w:r>
      <w:r w:rsidR="006B24E9">
        <w:rPr>
          <w:rFonts w:ascii="Times New Roman" w:eastAsia="Garamond" w:hAnsi="Times New Roman" w:cs="Times New Roman"/>
          <w:color w:val="000000"/>
        </w:rPr>
        <w:t>cumulabilità</w:t>
      </w:r>
      <w:r w:rsidR="00FF1EB2">
        <w:rPr>
          <w:rFonts w:ascii="Times New Roman" w:eastAsia="Garamond" w:hAnsi="Times New Roman" w:cs="Times New Roman"/>
          <w:color w:val="000000"/>
        </w:rPr>
        <w:t xml:space="preserve"> tra l’indennità condizioni di lavoro e </w:t>
      </w:r>
      <w:r w:rsidR="006B24E9">
        <w:rPr>
          <w:rFonts w:ascii="Times New Roman" w:eastAsia="Garamond" w:hAnsi="Times New Roman" w:cs="Times New Roman"/>
          <w:color w:val="000000"/>
        </w:rPr>
        <w:t xml:space="preserve">l’indennità per </w:t>
      </w:r>
      <w:r w:rsidR="00FF1EB2" w:rsidRPr="00FF1EB2">
        <w:rPr>
          <w:rFonts w:ascii="Times New Roman" w:eastAsia="Garamond" w:hAnsi="Times New Roman" w:cs="Times New Roman"/>
          <w:color w:val="000000"/>
        </w:rPr>
        <w:t>particolari e specifiche responsabilità</w:t>
      </w:r>
      <w:r w:rsidR="00FF1EB2">
        <w:rPr>
          <w:rFonts w:ascii="Times New Roman" w:eastAsia="Garamond" w:hAnsi="Times New Roman" w:cs="Times New Roman"/>
          <w:color w:val="000000"/>
        </w:rPr>
        <w:t>, avv</w:t>
      </w:r>
      <w:r w:rsidR="006B24E9">
        <w:rPr>
          <w:rFonts w:ascii="Times New Roman" w:eastAsia="Garamond" w:hAnsi="Times New Roman" w:cs="Times New Roman"/>
          <w:color w:val="000000"/>
        </w:rPr>
        <w:t>iene</w:t>
      </w:r>
      <w:r w:rsidR="00FF1EB2">
        <w:rPr>
          <w:rFonts w:ascii="Times New Roman" w:eastAsia="Garamond" w:hAnsi="Times New Roman" w:cs="Times New Roman"/>
          <w:color w:val="000000"/>
        </w:rPr>
        <w:t xml:space="preserve"> in accordo con i Rappresentanti dei Lavoratori.</w:t>
      </w:r>
    </w:p>
    <w:p w14:paraId="7FD81480" w14:textId="307B5D55" w:rsidR="00865439" w:rsidRPr="000668DC" w:rsidRDefault="00881497" w:rsidP="00B45537">
      <w:pPr>
        <w:pStyle w:val="ListParagraph"/>
        <w:numPr>
          <w:ilvl w:val="0"/>
          <w:numId w:val="1"/>
        </w:numPr>
        <w:spacing w:before="120" w:after="100"/>
        <w:ind w:left="714" w:right="408" w:hanging="357"/>
        <w:jc w:val="both"/>
        <w:rPr>
          <w:rFonts w:ascii="Times New Roman" w:eastAsia="Garamond" w:hAnsi="Times New Roman" w:cs="Times New Roman"/>
          <w:color w:val="000000"/>
        </w:rPr>
      </w:pPr>
      <w:r w:rsidRPr="00DD087A">
        <w:rPr>
          <w:rFonts w:ascii="Times New Roman" w:eastAsia="Garamond" w:hAnsi="Times New Roman" w:cs="Times New Roman"/>
          <w:color w:val="000000"/>
        </w:rPr>
        <w:t xml:space="preserve">All’art. 17 si definiscono le posizioni di lavoro caratterizzate da </w:t>
      </w:r>
      <w:r w:rsidRPr="00F174DD">
        <w:rPr>
          <w:rFonts w:ascii="Times New Roman" w:eastAsia="Garamond" w:hAnsi="Times New Roman" w:cs="Times New Roman"/>
          <w:b/>
          <w:bCs/>
          <w:color w:val="000000"/>
        </w:rPr>
        <w:t>particolari e specifiche responsabilità</w:t>
      </w:r>
      <w:r w:rsidRPr="00DD087A">
        <w:rPr>
          <w:rFonts w:ascii="Times New Roman" w:eastAsia="Garamond" w:hAnsi="Times New Roman" w:cs="Times New Roman"/>
          <w:color w:val="000000"/>
        </w:rPr>
        <w:t xml:space="preserve">, che saranno appositamente individuate dai competenti dirigenti delle strutture di appartenenza in stretta correlazione con la concreta organizzazione del lavoro, l'organizzazione </w:t>
      </w:r>
      <w:r w:rsidRPr="00DD087A">
        <w:rPr>
          <w:rFonts w:ascii="Times New Roman" w:eastAsia="Garamond" w:hAnsi="Times New Roman" w:cs="Times New Roman"/>
          <w:color w:val="000000"/>
        </w:rPr>
        <w:lastRenderedPageBreak/>
        <w:t>degli uffici e dei servizi, la razionalizzazione ed ottimizzazione dell'impiego delle risorse umane.</w:t>
      </w:r>
      <w:r w:rsidR="000668DC">
        <w:rPr>
          <w:rFonts w:ascii="Times New Roman" w:eastAsia="Garamond" w:hAnsi="Times New Roman" w:cs="Times New Roman"/>
          <w:color w:val="000000"/>
        </w:rPr>
        <w:t xml:space="preserve"> </w:t>
      </w:r>
      <w:r w:rsidRPr="000668DC">
        <w:rPr>
          <w:rFonts w:ascii="Times New Roman" w:eastAsia="Garamond" w:hAnsi="Times New Roman" w:cs="Times New Roman"/>
          <w:color w:val="000000"/>
        </w:rPr>
        <w:t>Possono essere destinatari della connessa indennità i dipendenti inquadrati nelle categorie "B" e "C" nonché il personale di categoria "D" non incaricato di posizione organizzativa.</w:t>
      </w:r>
      <w:r w:rsidR="00DD087A" w:rsidRPr="000668DC">
        <w:rPr>
          <w:rFonts w:ascii="Times New Roman" w:eastAsia="Garamond" w:hAnsi="Times New Roman" w:cs="Times New Roman"/>
          <w:color w:val="000000"/>
        </w:rPr>
        <w:t xml:space="preserve"> Per ogni specifica categoria di appartenenza sono definiti dei</w:t>
      </w:r>
      <w:r w:rsidRPr="000668DC">
        <w:rPr>
          <w:rFonts w:ascii="Times New Roman" w:eastAsia="Garamond" w:hAnsi="Times New Roman" w:cs="Times New Roman"/>
          <w:color w:val="000000"/>
        </w:rPr>
        <w:t xml:space="preserve"> criteri per l’attribuzione/pesatura della specifica responsabilità </w:t>
      </w:r>
      <w:r w:rsidR="00DD087A" w:rsidRPr="000668DC">
        <w:rPr>
          <w:rFonts w:ascii="Times New Roman" w:eastAsia="Garamond" w:hAnsi="Times New Roman" w:cs="Times New Roman"/>
          <w:color w:val="000000"/>
        </w:rPr>
        <w:t>a cui si fa espresso rinvio.</w:t>
      </w:r>
      <w:r w:rsidR="00865439" w:rsidRPr="000668DC">
        <w:rPr>
          <w:rFonts w:ascii="Times New Roman" w:eastAsia="Garamond" w:hAnsi="Times New Roman" w:cs="Times New Roman"/>
          <w:color w:val="000000"/>
        </w:rPr>
        <w:t xml:space="preserve"> Inoltre</w:t>
      </w:r>
      <w:r w:rsidR="00B45537">
        <w:rPr>
          <w:rFonts w:ascii="Times New Roman" w:eastAsia="Garamond" w:hAnsi="Times New Roman" w:cs="Times New Roman"/>
          <w:color w:val="000000"/>
        </w:rPr>
        <w:t>,</w:t>
      </w:r>
      <w:r w:rsidR="00865439" w:rsidRPr="000668DC">
        <w:rPr>
          <w:rFonts w:ascii="Times New Roman" w:eastAsia="Garamond" w:hAnsi="Times New Roman" w:cs="Times New Roman"/>
          <w:color w:val="000000"/>
        </w:rPr>
        <w:t xml:space="preserve"> per ogni specifica categoria di appartenenza   è prevista una graduazione del compenso della indennità in questione che va da un minimo ad un massimo.</w:t>
      </w:r>
      <w:r w:rsidRPr="000668DC">
        <w:rPr>
          <w:rFonts w:ascii="Times New Roman" w:eastAsia="Garamond" w:hAnsi="Times New Roman" w:cs="Times New Roman"/>
          <w:color w:val="000000"/>
        </w:rPr>
        <w:t xml:space="preserve"> La correlata indennità, nel rispetto del dettato dell'art. 70 quinquies del CCNL 21.05.2018, sarà erogata dalla U.O.D. "Trattamento Economico" nei termini economici definiti negli atti formali di attribuzione da parte dei dirigenti di appartenenza.</w:t>
      </w:r>
    </w:p>
    <w:p w14:paraId="7C2B3891" w14:textId="07B84FB0" w:rsidR="00865439" w:rsidRPr="00FF1EB2" w:rsidRDefault="00865439" w:rsidP="00B45537">
      <w:pPr>
        <w:pStyle w:val="ListParagraph"/>
        <w:numPr>
          <w:ilvl w:val="0"/>
          <w:numId w:val="1"/>
        </w:numPr>
        <w:spacing w:before="120" w:after="100"/>
        <w:ind w:left="714" w:right="408" w:hanging="357"/>
        <w:jc w:val="both"/>
        <w:rPr>
          <w:rFonts w:ascii="Times New Roman" w:eastAsia="Garamond" w:hAnsi="Times New Roman" w:cs="Times New Roman"/>
          <w:color w:val="000000"/>
        </w:rPr>
      </w:pPr>
      <w:r w:rsidRPr="00286957">
        <w:rPr>
          <w:rFonts w:ascii="Times New Roman" w:eastAsia="Garamond" w:hAnsi="Times New Roman" w:cs="Times New Roman"/>
          <w:color w:val="000000"/>
        </w:rPr>
        <w:t xml:space="preserve">Viene istituita </w:t>
      </w:r>
      <w:r w:rsidR="00286957">
        <w:rPr>
          <w:rFonts w:ascii="Times New Roman" w:eastAsia="Garamond" w:hAnsi="Times New Roman" w:cs="Times New Roman"/>
          <w:color w:val="000000"/>
        </w:rPr>
        <w:t>all’art. 21</w:t>
      </w:r>
      <w:r w:rsidR="00286957" w:rsidRPr="00F174DD">
        <w:rPr>
          <w:rFonts w:ascii="Times New Roman" w:eastAsia="Garamond" w:hAnsi="Times New Roman" w:cs="Times New Roman"/>
          <w:color w:val="000000"/>
        </w:rPr>
        <w:t xml:space="preserve">, </w:t>
      </w:r>
      <w:r w:rsidRPr="00F174DD">
        <w:rPr>
          <w:rFonts w:ascii="Times New Roman" w:eastAsia="Garamond" w:hAnsi="Times New Roman" w:cs="Times New Roman"/>
          <w:color w:val="000000"/>
        </w:rPr>
        <w:t>la banca delle ore delle</w:t>
      </w:r>
      <w:r w:rsidRPr="00F174DD">
        <w:rPr>
          <w:rFonts w:ascii="Times New Roman" w:eastAsia="Garamond" w:hAnsi="Times New Roman" w:cs="Times New Roman"/>
          <w:b/>
          <w:bCs/>
          <w:color w:val="000000"/>
        </w:rPr>
        <w:t xml:space="preserve"> ferie solidali</w:t>
      </w:r>
      <w:r w:rsidRPr="00286957">
        <w:rPr>
          <w:rFonts w:ascii="Times New Roman" w:eastAsia="Garamond" w:hAnsi="Times New Roman" w:cs="Times New Roman"/>
          <w:color w:val="000000"/>
        </w:rPr>
        <w:t xml:space="preserve"> a cui possono attingere dipendenti che abbiano esigenza di prestare assistenza a figli minori che necessitino di cure costanti, per particolari condizioni di salute. Su base volontaria ed a titolo gratuito, il dipendente può cedere alla banca delle ore delle ferie solidali, in tutto o in parte: le giornate di ferie, già maturate, eccedenti i 20 giorni annuali di cui il dipendente deve necessariamente fruire ai sensi dell'art. 10 del D.Lgs. 66/20</w:t>
      </w:r>
      <w:r w:rsidR="00286957">
        <w:rPr>
          <w:rFonts w:ascii="Times New Roman" w:eastAsia="Garamond" w:hAnsi="Times New Roman" w:cs="Times New Roman"/>
          <w:color w:val="000000"/>
        </w:rPr>
        <w:t>03,</w:t>
      </w:r>
      <w:r w:rsidRPr="00286957">
        <w:rPr>
          <w:rFonts w:ascii="Times New Roman" w:eastAsia="Garamond" w:hAnsi="Times New Roman" w:cs="Times New Roman"/>
          <w:color w:val="000000"/>
        </w:rPr>
        <w:t xml:space="preserve"> le quattro giornate di festività soppresse di cui all'art. 28 del CCNL del 21/5/201</w:t>
      </w:r>
      <w:r w:rsidR="00286957">
        <w:rPr>
          <w:rFonts w:ascii="Times New Roman" w:eastAsia="Garamond" w:hAnsi="Times New Roman" w:cs="Times New Roman"/>
          <w:color w:val="000000"/>
        </w:rPr>
        <w:t>8 e le eventuali ferie residue degli anni precedenti.</w:t>
      </w:r>
    </w:p>
    <w:p w14:paraId="70DE5D7F" w14:textId="7F34D4D3" w:rsidR="00286957" w:rsidRPr="000668DC" w:rsidRDefault="00286957" w:rsidP="00B45537">
      <w:pPr>
        <w:pStyle w:val="ListParagraph"/>
        <w:numPr>
          <w:ilvl w:val="0"/>
          <w:numId w:val="1"/>
        </w:numPr>
        <w:tabs>
          <w:tab w:val="left" w:pos="6393"/>
        </w:tabs>
        <w:spacing w:before="120" w:after="100"/>
        <w:ind w:left="714" w:right="408" w:hanging="357"/>
        <w:jc w:val="both"/>
        <w:rPr>
          <w:rFonts w:ascii="Times New Roman" w:eastAsia="Garamond" w:hAnsi="Times New Roman" w:cs="Times New Roman"/>
          <w:color w:val="000000"/>
        </w:rPr>
      </w:pPr>
      <w:r>
        <w:rPr>
          <w:rFonts w:ascii="Times New Roman" w:eastAsia="Garamond" w:hAnsi="Times New Roman" w:cs="Times New Roman"/>
          <w:color w:val="000000"/>
        </w:rPr>
        <w:t>All’art. 27 è</w:t>
      </w:r>
      <w:r w:rsidRPr="00286957">
        <w:rPr>
          <w:rFonts w:ascii="Times New Roman" w:eastAsia="Garamond" w:hAnsi="Times New Roman" w:cs="Times New Roman"/>
          <w:color w:val="000000"/>
        </w:rPr>
        <w:t xml:space="preserve"> istituita </w:t>
      </w:r>
      <w:r w:rsidRPr="00F174DD">
        <w:rPr>
          <w:rFonts w:ascii="Times New Roman" w:eastAsia="Garamond" w:hAnsi="Times New Roman" w:cs="Times New Roman"/>
          <w:b/>
          <w:bCs/>
          <w:color w:val="000000"/>
        </w:rPr>
        <w:t>la banca delle ore</w:t>
      </w:r>
      <w:r w:rsidRPr="00286957">
        <w:rPr>
          <w:rFonts w:ascii="Times New Roman" w:eastAsia="Garamond" w:hAnsi="Times New Roman" w:cs="Times New Roman"/>
          <w:color w:val="000000"/>
        </w:rPr>
        <w:t>, di cui all’art. 38-bis del CCNL del 14/09/2000.</w:t>
      </w:r>
      <w:r w:rsidRPr="00286957">
        <w:rPr>
          <w:rFonts w:ascii="Times New Roman" w:eastAsia="Garamond" w:hAnsi="Times New Roman" w:cs="Times New Roman"/>
          <w:color w:val="000000"/>
        </w:rPr>
        <w:tab/>
        <w:t>Su</w:t>
      </w:r>
      <w:r>
        <w:rPr>
          <w:rFonts w:ascii="Times New Roman" w:eastAsia="Garamond" w:hAnsi="Times New Roman" w:cs="Times New Roman"/>
          <w:color w:val="000000"/>
        </w:rPr>
        <w:t xml:space="preserve"> </w:t>
      </w:r>
      <w:r w:rsidRPr="00286957">
        <w:rPr>
          <w:rFonts w:ascii="Times New Roman" w:eastAsia="Garamond" w:hAnsi="Times New Roman" w:cs="Times New Roman"/>
          <w:color w:val="000000"/>
        </w:rPr>
        <w:t>richiesta del dipendente, confluiscono nella banca delle ore le ore di prestazione di lavoro straordinario che sono state debitamente autorizzate, nel limite complessivo annuo di n. 50 ore. Il dipendente può richiedere le ore accantonate nella banca delle ore o in retribuzione o come permessi compensativi per necessità personali e familiari o per proprie attività formative.</w:t>
      </w:r>
    </w:p>
    <w:p w14:paraId="07E872DF" w14:textId="77777777" w:rsidR="00857D1E" w:rsidRPr="00FF1EB2" w:rsidRDefault="00857D1E" w:rsidP="00857D1E">
      <w:pPr>
        <w:pStyle w:val="BodyText"/>
        <w:tabs>
          <w:tab w:val="left" w:pos="9638"/>
        </w:tabs>
        <w:ind w:right="-82"/>
        <w:jc w:val="both"/>
        <w:rPr>
          <w:rFonts w:eastAsia="Garamond"/>
          <w:color w:val="000000"/>
          <w:sz w:val="22"/>
          <w:szCs w:val="22"/>
        </w:rPr>
      </w:pPr>
    </w:p>
    <w:p w14:paraId="7B8B95E5" w14:textId="77777777" w:rsidR="00857D1E" w:rsidRPr="00FF1EB2" w:rsidRDefault="00857D1E" w:rsidP="00857D1E">
      <w:pPr>
        <w:pStyle w:val="BodyText"/>
        <w:tabs>
          <w:tab w:val="left" w:pos="9638"/>
        </w:tabs>
        <w:ind w:right="-82"/>
        <w:jc w:val="both"/>
        <w:rPr>
          <w:rFonts w:eastAsia="Garamond"/>
          <w:color w:val="000000"/>
          <w:sz w:val="22"/>
          <w:szCs w:val="22"/>
        </w:rPr>
      </w:pPr>
      <w:r w:rsidRPr="00FF1EB2">
        <w:rPr>
          <w:rFonts w:eastAsia="Garamond"/>
          <w:color w:val="000000"/>
          <w:sz w:val="22"/>
          <w:szCs w:val="22"/>
        </w:rPr>
        <w:t>Per informazioni:</w:t>
      </w:r>
    </w:p>
    <w:p w14:paraId="35027DEF" w14:textId="78DDCC9E" w:rsidR="00857D1E" w:rsidRPr="00FF1EB2" w:rsidRDefault="00857D1E" w:rsidP="00857D1E">
      <w:pPr>
        <w:pStyle w:val="BodyText"/>
        <w:numPr>
          <w:ilvl w:val="0"/>
          <w:numId w:val="2"/>
        </w:numPr>
        <w:tabs>
          <w:tab w:val="left" w:pos="9638"/>
        </w:tabs>
        <w:ind w:right="-82"/>
        <w:jc w:val="both"/>
        <w:rPr>
          <w:rFonts w:eastAsia="Garamond"/>
          <w:color w:val="000000"/>
          <w:sz w:val="22"/>
          <w:szCs w:val="22"/>
        </w:rPr>
      </w:pPr>
      <w:r w:rsidRPr="00FF1EB2">
        <w:rPr>
          <w:rFonts w:eastAsia="Garamond"/>
          <w:color w:val="000000"/>
          <w:sz w:val="22"/>
          <w:szCs w:val="22"/>
        </w:rPr>
        <w:t>su aspetti contrattuali : Tel. 081/7962135 Dirigente U.O.D. 55.14.0</w:t>
      </w:r>
      <w:r w:rsidR="000668DC" w:rsidRPr="00FF1EB2">
        <w:rPr>
          <w:rFonts w:eastAsia="Garamond"/>
          <w:color w:val="000000"/>
          <w:sz w:val="22"/>
          <w:szCs w:val="22"/>
        </w:rPr>
        <w:t>3</w:t>
      </w:r>
      <w:r w:rsidRPr="00FF1EB2">
        <w:rPr>
          <w:rFonts w:eastAsia="Garamond"/>
          <w:color w:val="000000"/>
          <w:sz w:val="22"/>
          <w:szCs w:val="22"/>
        </w:rPr>
        <w:t xml:space="preserve"> dott.ssa Maria Stefania Panza o  tel 081/7962969 dott.ssa Maria Rosaria Schimid;</w:t>
      </w:r>
    </w:p>
    <w:p w14:paraId="3BA60A86" w14:textId="61C05383" w:rsidR="00857D1E" w:rsidRPr="00FF1EB2" w:rsidRDefault="00857D1E" w:rsidP="00857D1E">
      <w:pPr>
        <w:pStyle w:val="BodyText"/>
        <w:numPr>
          <w:ilvl w:val="0"/>
          <w:numId w:val="2"/>
        </w:numPr>
        <w:tabs>
          <w:tab w:val="left" w:pos="9638"/>
        </w:tabs>
        <w:ind w:right="-82"/>
        <w:jc w:val="both"/>
        <w:rPr>
          <w:rFonts w:eastAsia="Garamond"/>
          <w:color w:val="000000"/>
          <w:sz w:val="22"/>
          <w:szCs w:val="22"/>
        </w:rPr>
      </w:pPr>
      <w:r w:rsidRPr="00FF1EB2">
        <w:rPr>
          <w:rFonts w:eastAsia="Garamond"/>
          <w:color w:val="000000"/>
          <w:sz w:val="22"/>
          <w:szCs w:val="22"/>
        </w:rPr>
        <w:t>su aspetti sul trattamento accessorio: Tel.081/7962265 Dirigente U.O.D. 55.14.0</w:t>
      </w:r>
      <w:r w:rsidR="000668DC" w:rsidRPr="00FF1EB2">
        <w:rPr>
          <w:rFonts w:eastAsia="Garamond"/>
          <w:color w:val="000000"/>
          <w:sz w:val="22"/>
          <w:szCs w:val="22"/>
        </w:rPr>
        <w:t>4</w:t>
      </w:r>
      <w:r w:rsidRPr="00FF1EB2">
        <w:rPr>
          <w:rFonts w:eastAsia="Garamond"/>
          <w:color w:val="000000"/>
          <w:sz w:val="22"/>
          <w:szCs w:val="22"/>
        </w:rPr>
        <w:t xml:space="preserve"> </w:t>
      </w:r>
      <w:r w:rsidR="00EA7B90">
        <w:rPr>
          <w:rFonts w:eastAsia="Garamond"/>
          <w:color w:val="000000"/>
          <w:sz w:val="22"/>
          <w:szCs w:val="22"/>
        </w:rPr>
        <w:t xml:space="preserve">dott. </w:t>
      </w:r>
      <w:r w:rsidR="00286957" w:rsidRPr="00FF1EB2">
        <w:rPr>
          <w:rFonts w:eastAsia="Garamond"/>
          <w:color w:val="000000"/>
          <w:sz w:val="22"/>
          <w:szCs w:val="22"/>
        </w:rPr>
        <w:t>Salvatore D</w:t>
      </w:r>
      <w:r w:rsidR="00EA7B90">
        <w:rPr>
          <w:rFonts w:eastAsia="Garamond"/>
          <w:color w:val="000000"/>
          <w:sz w:val="22"/>
          <w:szCs w:val="22"/>
        </w:rPr>
        <w:t>e</w:t>
      </w:r>
      <w:r w:rsidR="00286957" w:rsidRPr="00FF1EB2">
        <w:rPr>
          <w:rFonts w:eastAsia="Garamond"/>
          <w:color w:val="000000"/>
          <w:sz w:val="22"/>
          <w:szCs w:val="22"/>
        </w:rPr>
        <w:t xml:space="preserve"> </w:t>
      </w:r>
      <w:r w:rsidR="000668DC" w:rsidRPr="00FF1EB2">
        <w:rPr>
          <w:rFonts w:eastAsia="Garamond"/>
          <w:color w:val="000000"/>
          <w:sz w:val="22"/>
          <w:szCs w:val="22"/>
        </w:rPr>
        <w:t>Maio</w:t>
      </w:r>
      <w:r w:rsidRPr="00FF1EB2">
        <w:rPr>
          <w:rFonts w:eastAsia="Garamond"/>
          <w:color w:val="000000"/>
          <w:sz w:val="22"/>
          <w:szCs w:val="22"/>
        </w:rPr>
        <w:t xml:space="preserve"> o </w:t>
      </w:r>
      <w:r w:rsidR="00EA7B90">
        <w:rPr>
          <w:rFonts w:eastAsia="Garamond"/>
          <w:color w:val="000000"/>
          <w:sz w:val="22"/>
          <w:szCs w:val="22"/>
        </w:rPr>
        <w:t xml:space="preserve">dott. </w:t>
      </w:r>
      <w:r w:rsidRPr="00FF1EB2">
        <w:rPr>
          <w:rFonts w:eastAsia="Garamond"/>
          <w:color w:val="000000"/>
          <w:sz w:val="22"/>
          <w:szCs w:val="22"/>
        </w:rPr>
        <w:t>Umberto Pennino</w:t>
      </w:r>
      <w:r w:rsidR="000668DC" w:rsidRPr="00FF1EB2">
        <w:rPr>
          <w:rFonts w:eastAsia="Garamond"/>
          <w:color w:val="000000"/>
          <w:sz w:val="22"/>
          <w:szCs w:val="22"/>
        </w:rPr>
        <w:t>.</w:t>
      </w:r>
    </w:p>
    <w:p w14:paraId="6BEE8234" w14:textId="147B13F6" w:rsidR="00857D1E" w:rsidRDefault="00857D1E" w:rsidP="000668DC">
      <w:pPr>
        <w:pStyle w:val="BodyText"/>
        <w:tabs>
          <w:tab w:val="left" w:pos="9638"/>
        </w:tabs>
        <w:ind w:left="840" w:right="-82"/>
        <w:jc w:val="both"/>
        <w:rPr>
          <w:sz w:val="22"/>
          <w:szCs w:val="22"/>
        </w:rPr>
      </w:pPr>
    </w:p>
    <w:p w14:paraId="380608B1" w14:textId="77777777" w:rsidR="00857D1E" w:rsidRDefault="00857D1E" w:rsidP="00857D1E">
      <w:pPr>
        <w:pStyle w:val="BodyText"/>
        <w:tabs>
          <w:tab w:val="left" w:pos="9638"/>
        </w:tabs>
        <w:ind w:right="-82"/>
        <w:jc w:val="both"/>
        <w:rPr>
          <w:sz w:val="22"/>
          <w:szCs w:val="22"/>
        </w:rPr>
      </w:pPr>
    </w:p>
    <w:p w14:paraId="5A883542" w14:textId="77777777" w:rsidR="00857D1E" w:rsidRDefault="00857D1E" w:rsidP="00857D1E">
      <w:pPr>
        <w:pStyle w:val="BodyText"/>
        <w:tabs>
          <w:tab w:val="left" w:pos="9638"/>
        </w:tabs>
        <w:ind w:right="-82"/>
        <w:jc w:val="both"/>
        <w:rPr>
          <w:color w:val="FF0000"/>
          <w:sz w:val="22"/>
          <w:szCs w:val="22"/>
        </w:rPr>
      </w:pPr>
    </w:p>
    <w:p w14:paraId="366FFF57" w14:textId="77777777" w:rsidR="00857D1E" w:rsidRDefault="00857D1E" w:rsidP="00857D1E">
      <w:pPr>
        <w:pStyle w:val="BodyText"/>
        <w:tabs>
          <w:tab w:val="left" w:pos="9638"/>
        </w:tabs>
        <w:ind w:right="-82"/>
        <w:jc w:val="both"/>
        <w:rPr>
          <w:color w:val="FF0000"/>
          <w:sz w:val="22"/>
          <w:szCs w:val="22"/>
        </w:rPr>
      </w:pPr>
    </w:p>
    <w:p w14:paraId="01A388B2" w14:textId="77777777" w:rsidR="00857D1E" w:rsidRDefault="00857D1E" w:rsidP="00857D1E">
      <w:pPr>
        <w:pStyle w:val="BodyText"/>
        <w:tabs>
          <w:tab w:val="left" w:pos="9638"/>
        </w:tabs>
        <w:ind w:right="-82"/>
        <w:jc w:val="both"/>
      </w:pPr>
      <w:r>
        <w:rPr>
          <w:color w:val="FF0000"/>
          <w:sz w:val="22"/>
          <w:szCs w:val="22"/>
        </w:rPr>
        <w:tab/>
      </w:r>
      <w:r>
        <w:rPr>
          <w:color w:val="FF0000"/>
          <w:sz w:val="22"/>
          <w:szCs w:val="22"/>
        </w:rPr>
        <w:tab/>
      </w:r>
    </w:p>
    <w:p w14:paraId="79BFD134" w14:textId="77777777" w:rsidR="00857D1E" w:rsidRDefault="00857D1E" w:rsidP="00857D1E">
      <w:pPr>
        <w:rPr>
          <w:rFonts w:ascii="Times New Roman" w:hAnsi="Times New Roman" w:cs="Times New Roman"/>
        </w:rPr>
      </w:pPr>
    </w:p>
    <w:p w14:paraId="4EC9AF1A" w14:textId="77777777" w:rsidR="00857D1E" w:rsidRDefault="00857D1E" w:rsidP="00857D1E">
      <w:pPr>
        <w:rPr>
          <w:rFonts w:ascii="Times New Roman" w:hAnsi="Times New Roman" w:cs="Times New Roman"/>
        </w:rPr>
      </w:pPr>
    </w:p>
    <w:p w14:paraId="2A4F5D86" w14:textId="77777777" w:rsidR="00857D1E" w:rsidRDefault="00857D1E" w:rsidP="00857D1E">
      <w:pPr>
        <w:rPr>
          <w:rFonts w:ascii="Times New Roman" w:hAnsi="Times New Roman" w:cs="Times New Roman"/>
        </w:rPr>
      </w:pPr>
    </w:p>
    <w:p w14:paraId="41C3B8CB" w14:textId="77777777" w:rsidR="00857D1E" w:rsidRDefault="00857D1E" w:rsidP="00857D1E">
      <w:pPr>
        <w:rPr>
          <w:rFonts w:ascii="Times New Roman" w:hAnsi="Times New Roman" w:cs="Times New Roman"/>
        </w:rPr>
      </w:pPr>
    </w:p>
    <w:p w14:paraId="3A832186" w14:textId="77777777" w:rsidR="000030B7" w:rsidRDefault="000030B7"/>
    <w:sectPr w:rsidR="000030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Verdana" w:hAnsi="Verdana" w:cs="Verdana"/>
        <w:sz w:val="22"/>
        <w:szCs w:val="22"/>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Garamond" w:eastAsia="Garamond" w:hAnsi="Garamond" w:cs="Garamond"/>
        <w:color w:val="000000"/>
        <w:spacing w:val="0"/>
        <w:w w:val="100"/>
        <w:position w:val="0"/>
        <w:sz w:val="19"/>
        <w:vertAlign w:val="baseline"/>
        <w:lang w:val="it-I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Garamond" w:eastAsia="Garamond" w:hAnsi="Garamond" w:cs="Garamond"/>
        <w:color w:val="000000"/>
        <w:spacing w:val="0"/>
        <w:w w:val="100"/>
        <w:position w:val="0"/>
        <w:sz w:val="19"/>
        <w:szCs w:val="19"/>
        <w:vertAlign w:val="baseline"/>
        <w:lang w:val="it-IT"/>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eastAsia="Verdana"/>
        <w:color w:val="000000"/>
        <w:spacing w:val="0"/>
        <w:w w:val="100"/>
        <w:position w:val="0"/>
        <w:sz w:val="15"/>
        <w:vertAlign w:val="baseline"/>
        <w:lang w:val="it-IT"/>
      </w:rPr>
    </w:lvl>
  </w:abstractNum>
  <w:abstractNum w:abstractNumId="4" w15:restartNumberingAfterBreak="0">
    <w:nsid w:val="2DE84649"/>
    <w:multiLevelType w:val="hybridMultilevel"/>
    <w:tmpl w:val="1F1CED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4744AE"/>
    <w:multiLevelType w:val="singleLevel"/>
    <w:tmpl w:val="00000001"/>
    <w:lvl w:ilvl="0">
      <w:start w:val="1"/>
      <w:numFmt w:val="decimal"/>
      <w:lvlText w:val="%1."/>
      <w:lvlJc w:val="left"/>
      <w:pPr>
        <w:tabs>
          <w:tab w:val="num" w:pos="720"/>
        </w:tabs>
        <w:ind w:left="720" w:hanging="360"/>
      </w:pPr>
      <w:rPr>
        <w:rFonts w:ascii="Verdana" w:hAnsi="Verdana" w:cs="Verdana"/>
        <w:sz w:val="22"/>
        <w:szCs w:val="22"/>
      </w:rPr>
    </w:lvl>
  </w:abstractNum>
  <w:abstractNum w:abstractNumId="6" w15:restartNumberingAfterBreak="0">
    <w:nsid w:val="4B3E4894"/>
    <w:multiLevelType w:val="singleLevel"/>
    <w:tmpl w:val="00000001"/>
    <w:lvl w:ilvl="0">
      <w:start w:val="1"/>
      <w:numFmt w:val="decimal"/>
      <w:lvlText w:val="%1."/>
      <w:lvlJc w:val="left"/>
      <w:pPr>
        <w:tabs>
          <w:tab w:val="num" w:pos="720"/>
        </w:tabs>
        <w:ind w:left="720" w:hanging="360"/>
      </w:pPr>
      <w:rPr>
        <w:rFonts w:ascii="Verdana" w:hAnsi="Verdana" w:cs="Verdana"/>
        <w:sz w:val="22"/>
        <w:szCs w:val="22"/>
      </w:rPr>
    </w:lvl>
  </w:abstractNum>
  <w:abstractNum w:abstractNumId="7" w15:restartNumberingAfterBreak="0">
    <w:nsid w:val="6C221B55"/>
    <w:multiLevelType w:val="singleLevel"/>
    <w:tmpl w:val="00000001"/>
    <w:lvl w:ilvl="0">
      <w:start w:val="1"/>
      <w:numFmt w:val="decimal"/>
      <w:lvlText w:val="%1."/>
      <w:lvlJc w:val="left"/>
      <w:pPr>
        <w:tabs>
          <w:tab w:val="num" w:pos="720"/>
        </w:tabs>
        <w:ind w:left="720" w:hanging="360"/>
      </w:pPr>
      <w:rPr>
        <w:rFonts w:ascii="Verdana" w:hAnsi="Verdana" w:cs="Verdana"/>
        <w:sz w:val="22"/>
        <w:szCs w:val="22"/>
      </w:rPr>
    </w:lvl>
  </w:abstractNum>
  <w:abstractNum w:abstractNumId="8" w15:restartNumberingAfterBreak="0">
    <w:nsid w:val="794B7E47"/>
    <w:multiLevelType w:val="hybridMultilevel"/>
    <w:tmpl w:val="5B10F01A"/>
    <w:lvl w:ilvl="0" w:tplc="E384CE9A">
      <w:start w:val="1"/>
      <w:numFmt w:val="bullet"/>
      <w:lvlText w:val=""/>
      <w:lvlJc w:val="left"/>
      <w:pPr>
        <w:tabs>
          <w:tab w:val="num" w:pos="840"/>
        </w:tabs>
        <w:ind w:left="840" w:hanging="360"/>
      </w:pPr>
      <w:rPr>
        <w:rFonts w:ascii="Symbol" w:hAnsi="Symbol" w:cs="Times New Roman" w:hint="default"/>
        <w:color w:val="auto"/>
      </w:rPr>
    </w:lvl>
    <w:lvl w:ilvl="1" w:tplc="04100003">
      <w:start w:val="1"/>
      <w:numFmt w:val="bullet"/>
      <w:lvlText w:val="o"/>
      <w:lvlJc w:val="left"/>
      <w:pPr>
        <w:tabs>
          <w:tab w:val="num" w:pos="1560"/>
        </w:tabs>
        <w:ind w:left="1560" w:hanging="360"/>
      </w:pPr>
      <w:rPr>
        <w:rFonts w:ascii="Courier New" w:hAnsi="Courier New" w:cs="Courier New" w:hint="default"/>
      </w:rPr>
    </w:lvl>
    <w:lvl w:ilvl="2" w:tplc="04100005">
      <w:start w:val="1"/>
      <w:numFmt w:val="bullet"/>
      <w:lvlText w:val=""/>
      <w:lvlJc w:val="left"/>
      <w:pPr>
        <w:tabs>
          <w:tab w:val="num" w:pos="2280"/>
        </w:tabs>
        <w:ind w:left="2280" w:hanging="360"/>
      </w:pPr>
      <w:rPr>
        <w:rFonts w:ascii="Wingdings" w:hAnsi="Wingdings" w:hint="default"/>
      </w:rPr>
    </w:lvl>
    <w:lvl w:ilvl="3" w:tplc="04100001">
      <w:start w:val="1"/>
      <w:numFmt w:val="bullet"/>
      <w:lvlText w:val=""/>
      <w:lvlJc w:val="left"/>
      <w:pPr>
        <w:tabs>
          <w:tab w:val="num" w:pos="3000"/>
        </w:tabs>
        <w:ind w:left="3000" w:hanging="360"/>
      </w:pPr>
      <w:rPr>
        <w:rFonts w:ascii="Symbol" w:hAnsi="Symbol" w:hint="default"/>
      </w:rPr>
    </w:lvl>
    <w:lvl w:ilvl="4" w:tplc="04100003">
      <w:start w:val="1"/>
      <w:numFmt w:val="bullet"/>
      <w:lvlText w:val="o"/>
      <w:lvlJc w:val="left"/>
      <w:pPr>
        <w:tabs>
          <w:tab w:val="num" w:pos="3720"/>
        </w:tabs>
        <w:ind w:left="3720" w:hanging="360"/>
      </w:pPr>
      <w:rPr>
        <w:rFonts w:ascii="Courier New" w:hAnsi="Courier New" w:cs="Courier New" w:hint="default"/>
      </w:rPr>
    </w:lvl>
    <w:lvl w:ilvl="5" w:tplc="04100005">
      <w:start w:val="1"/>
      <w:numFmt w:val="bullet"/>
      <w:lvlText w:val=""/>
      <w:lvlJc w:val="left"/>
      <w:pPr>
        <w:tabs>
          <w:tab w:val="num" w:pos="4440"/>
        </w:tabs>
        <w:ind w:left="4440" w:hanging="360"/>
      </w:pPr>
      <w:rPr>
        <w:rFonts w:ascii="Wingdings" w:hAnsi="Wingdings" w:hint="default"/>
      </w:rPr>
    </w:lvl>
    <w:lvl w:ilvl="6" w:tplc="04100001">
      <w:start w:val="1"/>
      <w:numFmt w:val="bullet"/>
      <w:lvlText w:val=""/>
      <w:lvlJc w:val="left"/>
      <w:pPr>
        <w:tabs>
          <w:tab w:val="num" w:pos="5160"/>
        </w:tabs>
        <w:ind w:left="5160" w:hanging="360"/>
      </w:pPr>
      <w:rPr>
        <w:rFonts w:ascii="Symbol" w:hAnsi="Symbol" w:hint="default"/>
      </w:rPr>
    </w:lvl>
    <w:lvl w:ilvl="7" w:tplc="04100003">
      <w:start w:val="1"/>
      <w:numFmt w:val="bullet"/>
      <w:lvlText w:val="o"/>
      <w:lvlJc w:val="left"/>
      <w:pPr>
        <w:tabs>
          <w:tab w:val="num" w:pos="5880"/>
        </w:tabs>
        <w:ind w:left="5880" w:hanging="360"/>
      </w:pPr>
      <w:rPr>
        <w:rFonts w:ascii="Courier New" w:hAnsi="Courier New" w:cs="Courier New" w:hint="default"/>
      </w:rPr>
    </w:lvl>
    <w:lvl w:ilvl="8" w:tplc="04100005">
      <w:start w:val="1"/>
      <w:numFmt w:val="bullet"/>
      <w:lvlText w:val=""/>
      <w:lvlJc w:val="left"/>
      <w:pPr>
        <w:tabs>
          <w:tab w:val="num" w:pos="6600"/>
        </w:tabs>
        <w:ind w:left="6600" w:hanging="360"/>
      </w:pPr>
      <w:rPr>
        <w:rFonts w:ascii="Wingdings" w:hAnsi="Wingdings" w:hint="default"/>
      </w:rPr>
    </w:lvl>
  </w:abstractNum>
  <w:num w:numId="1">
    <w:abstractNumId w:val="0"/>
    <w:lvlOverride w:ilvl="0">
      <w:startOverride w:val="1"/>
    </w:lvlOverride>
  </w:num>
  <w:num w:numId="2">
    <w:abstractNumId w:val="8"/>
  </w:num>
  <w:num w:numId="3">
    <w:abstractNumId w:val="0"/>
  </w:num>
  <w:num w:numId="4">
    <w:abstractNumId w:val="7"/>
  </w:num>
  <w:num w:numId="5">
    <w:abstractNumId w:val="2"/>
    <w:lvlOverride w:ilvl="0">
      <w:startOverride w:val="1"/>
    </w:lvlOverride>
  </w:num>
  <w:num w:numId="6">
    <w:abstractNumId w:val="6"/>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1E"/>
    <w:rsid w:val="000030B7"/>
    <w:rsid w:val="000668DC"/>
    <w:rsid w:val="001B1799"/>
    <w:rsid w:val="00286957"/>
    <w:rsid w:val="002C3925"/>
    <w:rsid w:val="002C78E1"/>
    <w:rsid w:val="002F028D"/>
    <w:rsid w:val="00686977"/>
    <w:rsid w:val="006B24E9"/>
    <w:rsid w:val="0073726D"/>
    <w:rsid w:val="007910EF"/>
    <w:rsid w:val="00857D1E"/>
    <w:rsid w:val="00865439"/>
    <w:rsid w:val="00881497"/>
    <w:rsid w:val="00A821E1"/>
    <w:rsid w:val="00B45537"/>
    <w:rsid w:val="00BE6168"/>
    <w:rsid w:val="00D0123E"/>
    <w:rsid w:val="00DB0432"/>
    <w:rsid w:val="00DD087A"/>
    <w:rsid w:val="00EA7B90"/>
    <w:rsid w:val="00F174DD"/>
    <w:rsid w:val="00FB35CA"/>
    <w:rsid w:val="00FF1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C6D2"/>
  <w15:chartTrackingRefBased/>
  <w15:docId w15:val="{AF23FEDE-54A8-41B3-B88C-0FCBD5F6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D1E"/>
    <w:pPr>
      <w:suppressAutoHyphens/>
      <w:spacing w:after="200" w:line="276" w:lineRule="auto"/>
    </w:pPr>
    <w:rPr>
      <w:rFonts w:ascii="Calibri" w:eastAsia="Times New Roma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57D1E"/>
    <w:pPr>
      <w:spacing w:after="0" w:line="240" w:lineRule="auto"/>
    </w:pPr>
    <w:rPr>
      <w:rFonts w:ascii="Times New Roman" w:hAnsi="Times New Roman" w:cs="Times New Roman"/>
      <w:sz w:val="24"/>
      <w:szCs w:val="20"/>
    </w:rPr>
  </w:style>
  <w:style w:type="character" w:customStyle="1" w:styleId="BodyTextChar">
    <w:name w:val="Body Text Char"/>
    <w:basedOn w:val="DefaultParagraphFont"/>
    <w:link w:val="BodyText"/>
    <w:semiHidden/>
    <w:rsid w:val="00857D1E"/>
    <w:rPr>
      <w:rFonts w:ascii="Times New Roman" w:eastAsia="Times New Roman" w:hAnsi="Times New Roman" w:cs="Times New Roman"/>
      <w:sz w:val="24"/>
      <w:szCs w:val="20"/>
      <w:lang w:eastAsia="ar-SA"/>
    </w:rPr>
  </w:style>
  <w:style w:type="character" w:customStyle="1" w:styleId="CorpodeltestoCarattere">
    <w:name w:val="Corpo del testo Carattere"/>
    <w:basedOn w:val="DefaultParagraphFont"/>
    <w:rsid w:val="00857D1E"/>
    <w:rPr>
      <w:sz w:val="24"/>
      <w:lang w:val="it-IT" w:eastAsia="ar-SA" w:bidi="ar-SA"/>
    </w:rPr>
  </w:style>
  <w:style w:type="paragraph" w:styleId="ListParagraph">
    <w:name w:val="List Paragraph"/>
    <w:basedOn w:val="Normal"/>
    <w:uiPriority w:val="34"/>
    <w:qFormat/>
    <w:rsid w:val="00DB0432"/>
    <w:pPr>
      <w:ind w:left="720"/>
      <w:contextualSpacing/>
    </w:pPr>
  </w:style>
  <w:style w:type="character" w:customStyle="1" w:styleId="WW8Num1z3">
    <w:name w:val="WW8Num1z3"/>
    <w:rsid w:val="002F028D"/>
  </w:style>
  <w:style w:type="paragraph" w:customStyle="1" w:styleId="Testonormale1">
    <w:name w:val="Testo normale1"/>
    <w:basedOn w:val="Normal"/>
    <w:rsid w:val="002F028D"/>
    <w:pPr>
      <w:spacing w:after="0" w:line="240" w:lineRule="auto"/>
    </w:pPr>
    <w:rPr>
      <w:rFonts w:ascii="Courier New" w:hAnsi="Courier New" w:cs="Courier New"/>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5245</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STEFANIA PANZA</dc:creator>
  <cp:keywords/>
  <dc:description/>
  <cp:lastModifiedBy>Microsoft account</cp:lastModifiedBy>
  <cp:revision>2</cp:revision>
  <cp:lastPrinted>2022-03-02T13:54:00Z</cp:lastPrinted>
  <dcterms:created xsi:type="dcterms:W3CDTF">2022-03-30T13:15:00Z</dcterms:created>
  <dcterms:modified xsi:type="dcterms:W3CDTF">2022-03-30T13:15:00Z</dcterms:modified>
</cp:coreProperties>
</file>