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DE" w:rsidRPr="00B2321C" w:rsidRDefault="00F67DDE" w:rsidP="00B8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2321C">
        <w:rPr>
          <w:rFonts w:ascii="Times New Roman" w:hAnsi="Times New Roman"/>
          <w:b/>
          <w:bCs/>
          <w:iCs/>
          <w:sz w:val="24"/>
          <w:szCs w:val="24"/>
        </w:rPr>
        <w:t>La strategia della Regione Campania in materia di Anticorruzione e Trasparenza.</w:t>
      </w: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DDE" w:rsidRPr="00B2321C" w:rsidRDefault="00F67DDE" w:rsidP="00B232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321C">
        <w:rPr>
          <w:rFonts w:ascii="Times New Roman" w:hAnsi="Times New Roman"/>
          <w:b/>
          <w:sz w:val="24"/>
          <w:szCs w:val="24"/>
        </w:rPr>
        <w:t>Il Piano Triennale di Prevenzione della Corruzione</w:t>
      </w:r>
    </w:p>
    <w:p w:rsidR="00F67DDE" w:rsidRDefault="00F67DDE" w:rsidP="00B2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Default="00F67DDE" w:rsidP="00B2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Nella finalità</w:t>
      </w:r>
      <w:r w:rsidRPr="00B2321C">
        <w:rPr>
          <w:rFonts w:ascii="Times New Roman" w:hAnsi="Times New Roman"/>
          <w:sz w:val="24"/>
          <w:szCs w:val="24"/>
        </w:rPr>
        <w:t xml:space="preserve"> della prevenzione e del con</w:t>
      </w:r>
      <w:r>
        <w:rPr>
          <w:rFonts w:ascii="Times New Roman" w:hAnsi="Times New Roman"/>
          <w:sz w:val="24"/>
          <w:szCs w:val="24"/>
        </w:rPr>
        <w:t>trasto della “corruzione”, la legge</w:t>
      </w:r>
      <w:r w:rsidRPr="00B23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 190 del 20</w:t>
      </w:r>
      <w:r w:rsidRPr="00B2321C">
        <w:rPr>
          <w:rFonts w:ascii="Times New Roman" w:hAnsi="Times New Roman"/>
          <w:sz w:val="24"/>
          <w:szCs w:val="24"/>
        </w:rPr>
        <w:t>12 ha sancito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21C">
        <w:rPr>
          <w:rFonts w:ascii="Times New Roman" w:hAnsi="Times New Roman"/>
          <w:sz w:val="24"/>
          <w:szCs w:val="24"/>
        </w:rPr>
        <w:t>l’obbligo per le Pubbliche Amministrazioni di adottare un Piano di Prevenzione della corruzione che fornisca una valutazione del diverso livello di esposizione degli uffici al rischio di corruzione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21C">
        <w:rPr>
          <w:rFonts w:ascii="Times New Roman" w:hAnsi="Times New Roman"/>
          <w:sz w:val="24"/>
          <w:szCs w:val="24"/>
        </w:rPr>
        <w:t>e indichi gli interventi organizzativi volti a prevenire il medesimo rischio.</w:t>
      </w: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linee guida del Piano Nazionale Anticorruzione hanno indicato alcuni contenuti essenziali del Piano:</w:t>
      </w: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l’individuazione, tra le attività di competenza dell’amministrazione, di quelle più esposte al rischio di corruzione;</w:t>
      </w: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il coinvolgimento ai fini delle attività di cui al punto precedente, dei dirigenti e di tutto il personale delle amministrazioni addetto alle aree a più elevato rischio nell’attività di analisi e valutazione, di proposta e definizione delle misure e di monitoraggio per l’implementazione del piano;</w:t>
      </w: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il monitoraggio, per ciascuna attività, del rispetto dei termini di conclusione del procedimento;</w:t>
      </w: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la rilevazione, in rapporto al grado di rischio, delle misure di contrasto già adottate, ovvero l’indicazione di misure che il piano prevede di adottare;</w:t>
      </w: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individuazione delle misure di carattere generale che l’amministrazione ha adottato o intende adottare per prevenire il rischio di corruzione;</w:t>
      </w: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l’individuazione di forme di integrazione e di coordinamento con il Piano triennale della performance;</w:t>
      </w: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la previsione di forme di presa d’atto, da parte dei dipendenti, del PTPC sia al momento dell’assunzione sia, per quelli in servizio, con cadenza periodica.</w:t>
      </w: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Piano ha durata triennale, con aggiornamento annuale. È, pertanto, sottintesa un’azione continua e periodica di monitoraggio e di valutazione il cui esito positivo è, certamente, dipendente e commisurato all’apertura ed alla sensibilità dei dipendenti alla cultura dell’integrità e della trasparenza.</w:t>
      </w: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Come specificato dal Piano Nazionale Anticorruzione, il Piano regionale sistematizza e descrive un “processo” articolato in fasi tra loro collegate, finalizzato a formulare una strategia di prevenzione del fenomeno.</w:t>
      </w: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piano è teso a delineare un programma di attività e misure specifiche derivanti da una preliminare e necessaria fase di analisi volta ad esaminare l’organizzazione della Regione Campania, nonché le sue regole e le sue prassi di funzionamento in termini di “possibili esposizioni” al fenomeno corruttivo. </w:t>
      </w: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questo ambito, con deliberazione n. 11 del 23 gennaio 2014 è stato approvato il Codice di comportamento dei dipendenti della Giunta Regionale della Campania, che integra e specifica le previsioni contenute nel codice di comportamento dei dipendenti pubblici, approvato con D.P.R. 16 aprile 2013, n. 62. </w:t>
      </w:r>
    </w:p>
    <w:p w:rsidR="00F67DDE" w:rsidRDefault="00F67DDE" w:rsidP="00CF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Default="00F67DDE" w:rsidP="00BD42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quadro si completa con il Programma Triennale per la Trasparenza e l'integrità per il triennio 2014-2016, secondo le disposizioni contenute nella legge n. 190 del 2012 e nel decreto legislativo n. 33 del 2013. Detti provvedimenti, insieme al presente Piano, rappresentano strumenti indispensabili attraverso cui l’amministrazione intende realizzare un sistema integrato e coordinato di norme tese ad attuare o implementare misure di prevenzione dei rischi di corruzione nell’ambito delle strutture regionali, con l’azione sinergica di tutti gli uffici ed i soggetti coinvolti in tale delicato processo.</w:t>
      </w:r>
    </w:p>
    <w:p w:rsidR="00F67DDE" w:rsidRDefault="00F67DDE" w:rsidP="00FF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 tale contesto, la Regione Campania ha intrapreso il percorso di introduzione della normativa in materia di anticorruzione e delle azioni ivi previste ponendosi, in sintesi, i seguenti </w:t>
      </w:r>
      <w:r w:rsidRPr="0027477B">
        <w:rPr>
          <w:rFonts w:ascii="Times New Roman" w:hAnsi="Times New Roman"/>
          <w:bCs/>
          <w:sz w:val="24"/>
          <w:szCs w:val="24"/>
        </w:rPr>
        <w:t>obiettivi di carattere generale</w:t>
      </w:r>
      <w:r>
        <w:rPr>
          <w:rFonts w:ascii="Times New Roman" w:hAnsi="Times New Roman"/>
          <w:sz w:val="24"/>
          <w:szCs w:val="24"/>
        </w:rPr>
        <w:t>, in coerenza con gli obiettivi strategici previsti dal Piano Nazionale Anticorruzione:</w:t>
      </w:r>
    </w:p>
    <w:p w:rsidR="00F67DDE" w:rsidRDefault="00F67DDE" w:rsidP="00FF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ridurre le opportunità che si manifestino casi di corruzione;</w:t>
      </w:r>
    </w:p>
    <w:p w:rsidR="00F67DDE" w:rsidRDefault="00F67DDE" w:rsidP="00FF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aumentare la capacità di scoprire casi di corruzione;</w:t>
      </w:r>
    </w:p>
    <w:p w:rsidR="00F67DDE" w:rsidRDefault="00F67DDE" w:rsidP="00FF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accrescere la trasparenza e la capacità di prevenzione dell’azione pubblica con particolare riferimento alle aree amministrative più sensibili al</w:t>
      </w:r>
    </w:p>
    <w:p w:rsidR="00F67DDE" w:rsidRDefault="00F67DDE" w:rsidP="00FF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rischio di corruzione;</w:t>
      </w:r>
    </w:p>
    <w:p w:rsidR="00F67DDE" w:rsidRDefault="00F67DDE" w:rsidP="00FF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creare un contesto sfavorevole alla corruzione ed improntato alla cultura legalità dell'attività amministrativa e all’etica pubblica;</w:t>
      </w:r>
    </w:p>
    <w:p w:rsidR="00F67DDE" w:rsidRDefault="00F67DDE" w:rsidP="00FF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accrescere la sensibilità dei cittadini rispetto alla politica nazionale e regionale di contrasto alla corruzione.</w:t>
      </w:r>
    </w:p>
    <w:p w:rsidR="00F67DDE" w:rsidRDefault="00F67DDE" w:rsidP="00531B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Default="00601FA8" w:rsidP="00FF3B41">
      <w:r>
        <w:rPr>
          <w:noProof/>
          <w:lang w:eastAsia="it-IT"/>
        </w:rPr>
        <w:drawing>
          <wp:inline distT="0" distB="0" distL="0" distR="0">
            <wp:extent cx="7038975" cy="4400550"/>
            <wp:effectExtent l="1905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DE" w:rsidRDefault="00F67DDE" w:rsidP="00FF3B41"/>
    <w:p w:rsidR="00F67DDE" w:rsidRPr="00531BFB" w:rsidRDefault="00F67DDE" w:rsidP="00531B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31BFB">
        <w:rPr>
          <w:rFonts w:ascii="Times New Roman" w:hAnsi="Times New Roman"/>
          <w:b/>
          <w:sz w:val="24"/>
          <w:szCs w:val="24"/>
        </w:rPr>
        <w:t xml:space="preserve">Il Programma Triennale per la Trasparenza e l'integrità </w:t>
      </w: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Le attività legislative e amministrative della Regione Campania, come indicato all’art 11 dello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Statuto, sono informate ai principi della trasparenza e della partecipazione dei cittadini, delle formazioni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sociali, delle autonomie funzionali, degli enti e delle associazioni.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A tal fine, i poteri e le attività regionali sono esercitati con la più ampia pubblicità, per consentire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la massima diffusione delle informazioni, degli atti e dei documenti.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lastRenderedPageBreak/>
        <w:t xml:space="preserve">In tale </w:t>
      </w:r>
      <w:r>
        <w:rPr>
          <w:rFonts w:ascii="Times New Roman" w:hAnsi="Times New Roman"/>
          <w:sz w:val="24"/>
          <w:szCs w:val="24"/>
        </w:rPr>
        <w:t>logica</w:t>
      </w:r>
      <w:r w:rsidRPr="00BD42D7">
        <w:rPr>
          <w:rFonts w:ascii="Times New Roman" w:hAnsi="Times New Roman"/>
          <w:sz w:val="24"/>
          <w:szCs w:val="24"/>
        </w:rPr>
        <w:t>, il Programma non è inteso solo come un mero adempimento di un obbligo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legge, ai sensi dell’art. 10 del Dec</w:t>
      </w:r>
      <w:r>
        <w:rPr>
          <w:rFonts w:ascii="Times New Roman" w:hAnsi="Times New Roman"/>
          <w:sz w:val="24"/>
          <w:szCs w:val="24"/>
        </w:rPr>
        <w:t xml:space="preserve">reto Legislativo n. 33 del </w:t>
      </w:r>
      <w:r w:rsidRPr="00BD42D7">
        <w:rPr>
          <w:rFonts w:ascii="Times New Roman" w:hAnsi="Times New Roman"/>
          <w:sz w:val="24"/>
          <w:szCs w:val="24"/>
        </w:rPr>
        <w:t>2013, ma come strumento per la piena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attuazione dei citati principi statutari.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Il Programma ha lo scopo di rendere “trasparente” e “comprensibile”, ad ogni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livello, la struttura organizzativa e l'azione amministrativa dell’Ente, in conformità ai principi statutari e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applicazione del criterio dell’“accessibilità totale” delle informazioni relative.</w:t>
      </w: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Tale obiettivo lo si intende perseguire, in particolare, attraverso l'implementazione della sezione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del sito istituzionale “Amministrazione trasparente”.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Il programma per la trasparenza è strettamente collegato al Piano della Performance, che ha 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compito di fissare indicatori, livelli attesi e realizzati di prestazione, criteri di monitoraggio. Il ciclo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gestione della performance - pianificare, eseguire e far eseguire, misurare e valutare, agire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conseguenza - istituito dal decreto legislativo 27 ottobre 2009, n. 150 di riforma della pubblica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amministrazione, si pone come il quadro di riferimento dell’azione delle PP.AA..</w:t>
      </w: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D.G.R.n°155 del </w:t>
      </w:r>
      <w:r w:rsidRPr="00BD42D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giugno 2013 sono stati approvat</w:t>
      </w:r>
      <w:r w:rsidRPr="00BD42D7">
        <w:rPr>
          <w:rFonts w:ascii="Times New Roman" w:hAnsi="Times New Roman"/>
          <w:sz w:val="24"/>
          <w:szCs w:val="24"/>
        </w:rPr>
        <w:t>i gli “Obiettivi strategici 2013-2015”, del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Piano della Performance.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(http://burc.regione.campania.it/eBurcWeb/publicContent/archivio/archivio.iface )</w:t>
      </w: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Di particolare rilievo ai fini del presente Programma, è l’Ambito di intervento volto a “Rafforzare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il sistema di governo e la capacità amministrativa”, inserito nell’Area di riferimento “Governance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Società dell”informazione”, di cui si riportano di seguito gli obiettivi strategici triennali: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· Orientare la capacità amministrativa alla razionalizzazione della spesa e l’attivazione di sistemi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di controllo e misurazione della performance;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· Attuare le politiche per un’“Amministrazione trasparente”;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· Sviluppare la società dell’Informazione a sostegno delle priorità strategiche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dell’Amministrazione;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· Riduzione degli oneri burocratici e dei tempi del procedimento per settori definiti;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· Rispetto dei tempi del procedimento;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· Accelerazione delle procedure di spesa e di certificazione dei fondi comunitari in tutte le fasi del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procedimento;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· Promuovere la razionalizzazione dell’impiego delle risorse umane della Giunta Regionale e 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contenimento della relativa spesa.</w:t>
      </w: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Il Programma Triennale per la trasparenza e l’integrità, elaborato a cura del Responsabile della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Trasparenza, è approvato con Decreto del Presidente della Giunta Regionale. E’ portato all’attenzione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delle associazioni di consumatori e sottoposto a consultazione pubblica, tramite la pubblicazione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evidenza sul sito istituzionale, al fine di acquisire eventuali proposte volte al miglioramento dello stesso.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Altro passaggio fondamentale del presente programma è rappresentato dall'individuazione degli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stakeholders, al fine di stabilire la "relazione pubblica" con la propria comunità.</w:t>
      </w: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Letteralmente stakeholder ("to hold a stake") significa possedere o portare un interesse, 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titolo, inteso (quasi) nel senso di un "diritto". In sostanza, lo stakeholder è un soggetto (una persona,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un'organizzazione o un gruppo di persone) che ritiene di detenere un "titolo" per entrare in relazione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con una determinata organizzazione. Un soggetto le cui opinioni o decisioni, i cui atteggiamenti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comportamenti, possono oggettivamente favorire od ostacolare il raggiungimento di uno specifico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obiettivo dell'organizzazione.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Gli stakeholders della Regione Campania possono essere suddivisi in quattro macro-categorie: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lastRenderedPageBreak/>
        <w:t>· Istituzioni pubbliche: enti territoriali e locali, enti strumentali e aziende regionali controllate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partecipate, Aziende ULSS, agenzie funzionali (consorzi, camere di commercio, aziende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sanitarie, agenzie ambientali, università, ecc.);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· Gruppi organizzati: gruppi di pressione (sindacati, associazioni di categoria, partiti e movimenti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politici, mass media), associazioni del territorio (associazioni culturali, ambientali,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consumatori, sociali, gruppi sportivi o ricreativi, ecc.);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· Gruppi non organizzati: cittadini e collettività (l'insieme dei cittadini componenti la comunità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locale);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· Personale Regionale: soggetti titolari di rapporto di lavoro con l’Ente.</w:t>
      </w: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la Regione rende</w:t>
      </w:r>
      <w:r w:rsidRPr="00BD42D7">
        <w:rPr>
          <w:rFonts w:ascii="Times New Roman" w:hAnsi="Times New Roman"/>
          <w:sz w:val="24"/>
          <w:szCs w:val="24"/>
        </w:rPr>
        <w:t xml:space="preserve"> liberamente consultabile il presente programma e i suoi successivi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aggiornamenti agli stakeholders interessati. Questi ultimi, sulla specifica tematica “trasparenza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integrità” sono coinvolti secondo differenti modalità: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· Indirette: la Regione sfrutta differenti canali per raccogliere le loro esigenze e feedback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termini di trasparenza e integrità. Tra questi, si ricordano: le segnalazioni pervenute alla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Regione tramite posta elettronica, tramite l’Ufficio di Relazione con Pubblico, tramite l’Ufficio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D42D7">
        <w:rPr>
          <w:rFonts w:ascii="Times New Roman" w:hAnsi="Times New Roman"/>
          <w:sz w:val="24"/>
          <w:szCs w:val="24"/>
        </w:rPr>
        <w:t>Stampa, le comunicazioni pervenute alla Redazione Web del Portale, le segnalazioni attraverso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spazi “ufficiali“ dell'ente sui social media ed attraverso i vari punti di contatto aperti al pubblico.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Questa modalità di coinvolgimento è da ritenersi cruciale in quanto favorisce, nel tempo, anche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l’individuazione di potenziali target di portatori di interesse non ancora considerati in forma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strutturata.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· Dirette: l’Ente, attraverso la sezione “Amministrazione Trasparente”, accessibile dalla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page del portale di questo Ente, contenente tutti i dati, i link e le informazioni, rende l’azione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amministrativa manifesta e trasparente agli stakeholders. L’Amministrazione intende, inoltre,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programmare delle “Giornate della Trasparenza”, al fine di realizzare il massimo coinvolgimento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degli stakeholders in materia. Un resoconto delle giornate della trasparenza, con il relativo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programma, sarà reso, inoltre, disponibile nella predetta sezione. Oltre alle suddette giornate,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saranno organizzate attività formative per il personale interno alla struttura regionale e seminari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finalizzati a favorir</w:t>
      </w:r>
      <w:r>
        <w:rPr>
          <w:rFonts w:ascii="Times New Roman" w:hAnsi="Times New Roman"/>
          <w:sz w:val="24"/>
          <w:szCs w:val="24"/>
        </w:rPr>
        <w:t xml:space="preserve">e la cultura della Trasparenza. </w:t>
      </w:r>
      <w:r w:rsidRPr="00BD42D7">
        <w:rPr>
          <w:rFonts w:ascii="Times New Roman" w:hAnsi="Times New Roman"/>
          <w:sz w:val="24"/>
          <w:szCs w:val="24"/>
        </w:rPr>
        <w:t>In tale ottica, si segnala che la Giunta, co</w:t>
      </w:r>
      <w:r>
        <w:rPr>
          <w:rFonts w:ascii="Times New Roman" w:hAnsi="Times New Roman"/>
          <w:sz w:val="24"/>
          <w:szCs w:val="24"/>
        </w:rPr>
        <w:t xml:space="preserve">n deliberazione n. 11 del 23 gennaio </w:t>
      </w:r>
      <w:r w:rsidRPr="00BD42D7">
        <w:rPr>
          <w:rFonts w:ascii="Times New Roman" w:hAnsi="Times New Roman"/>
          <w:sz w:val="24"/>
          <w:szCs w:val="24"/>
        </w:rPr>
        <w:t>2014, ha approvato 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schema di Codice di Comportamento, ai sensi dell’art. 54, c</w:t>
      </w:r>
      <w:r>
        <w:rPr>
          <w:rFonts w:ascii="Times New Roman" w:hAnsi="Times New Roman"/>
          <w:sz w:val="24"/>
          <w:szCs w:val="24"/>
        </w:rPr>
        <w:t xml:space="preserve">omma 5, del Decreto Legislativo </w:t>
      </w:r>
      <w:r w:rsidRPr="00BD42D7">
        <w:rPr>
          <w:rFonts w:ascii="Times New Roman" w:hAnsi="Times New Roman"/>
          <w:sz w:val="24"/>
          <w:szCs w:val="24"/>
        </w:rPr>
        <w:t>n.165/2001, disponendo contestualmente l’avvio della procedura aperta per l’approvazione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definitiva.</w:t>
      </w: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Al fine della corretta attuazione del Programma Triennale per la trasparenza e l'integrità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concorrono il Responsabile della trasparenza, tutte le strutture dell'amministrazione e i relativi dirigenti.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Con Decreto del President</w:t>
      </w:r>
      <w:r>
        <w:rPr>
          <w:rFonts w:ascii="Times New Roman" w:hAnsi="Times New Roman"/>
          <w:sz w:val="24"/>
          <w:szCs w:val="24"/>
        </w:rPr>
        <w:t xml:space="preserve">e della Giunta n. 454 del 25 novembre </w:t>
      </w:r>
      <w:r w:rsidRPr="00BD42D7">
        <w:rPr>
          <w:rFonts w:ascii="Times New Roman" w:hAnsi="Times New Roman"/>
          <w:sz w:val="24"/>
          <w:szCs w:val="24"/>
        </w:rPr>
        <w:t>2013 la Regione Campania 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nominato la dott.ssa Giovanna Paolantonio, Direttore Generale per le risorse umane, quale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Responsabile per la prevenzione della corruzione e Responsabile della trasparenza della Giunta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regionale ai sensi del combinato disposto dell’art. 1, comma 7 della LEGGE n.190/2012 e dell’art. 43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del Decreto Legislativo. n.33/2013.</w:t>
      </w: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Il Responsabile della trasparenza ha il compito di controllare il procedimento di elaborazione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di aggiornamento del Programma Triennale e a tal fine promuove e cura il coinvolgimento delle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strutture dell'ente.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Il responsabile provvede all'aggiornamento del Programma triennale per la trasparenza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l'integrità garantendo il monitoraggio sull'attuazione degli obblighi di trasparenza. Assicura 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collegamento con il Programma triennale d</w:t>
      </w:r>
      <w:r>
        <w:rPr>
          <w:rFonts w:ascii="Times New Roman" w:hAnsi="Times New Roman"/>
          <w:sz w:val="24"/>
          <w:szCs w:val="24"/>
        </w:rPr>
        <w:t>i prevenzione della corruzione. Egli s</w:t>
      </w:r>
      <w:r w:rsidRPr="00BD42D7">
        <w:rPr>
          <w:rFonts w:ascii="Times New Roman" w:hAnsi="Times New Roman"/>
          <w:sz w:val="24"/>
          <w:szCs w:val="24"/>
        </w:rPr>
        <w:t>volge stabilmente un'attività di controllo sull'adempimento da parte dell'amministrazione degli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obblighi di pubblicazione previsti dalla normativa vigente, assicurando la completezza, la chiarezza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l'aggiornamento delle informazioni pubblicate, nonché segnalando all'organo di indirizzo politico,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 xml:space="preserve">all'Organismo </w:t>
      </w:r>
      <w:r w:rsidRPr="00BD42D7">
        <w:rPr>
          <w:rFonts w:ascii="Times New Roman" w:hAnsi="Times New Roman"/>
          <w:sz w:val="24"/>
          <w:szCs w:val="24"/>
        </w:rPr>
        <w:lastRenderedPageBreak/>
        <w:t>indipendente di valutazione (OIV), all'Autorità nazionale anticorruzione e, nei casi più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gravi, all'ufficio di disciplina i casi di mancato o ritardato adempimento degli obblighi di pubblicazione.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Il presente Programma triennale è stato predisposto secondo le fasi, le attività ed i soggetti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competenti, così come indicati nella delibera CIVIT n. 2/2012 e nelle sopra citate Linee guida CIVIT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cui alla delibera n.50/2013.</w:t>
      </w: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 w:rsidRPr="00BD42D7">
        <w:rPr>
          <w:rFonts w:ascii="Times New Roman" w:hAnsi="Times New Roman"/>
          <w:sz w:val="24"/>
          <w:szCs w:val="24"/>
        </w:rPr>
        <w:t xml:space="preserve"> tabella allegata </w:t>
      </w:r>
      <w:r>
        <w:rPr>
          <w:rFonts w:ascii="Times New Roman" w:hAnsi="Times New Roman"/>
          <w:sz w:val="24"/>
          <w:szCs w:val="24"/>
        </w:rPr>
        <w:t>a</w:t>
      </w:r>
      <w:r w:rsidRPr="00BD42D7">
        <w:rPr>
          <w:rFonts w:ascii="Times New Roman" w:hAnsi="Times New Roman"/>
          <w:sz w:val="24"/>
          <w:szCs w:val="24"/>
        </w:rPr>
        <w:t>l Programma triennale della trasparenza e l’integrità è strutturata nelle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sezioni e sotto-sezioni, come di seguito riportate, denominate così come indicato dall’allegato A) al</w:t>
      </w:r>
      <w:r>
        <w:rPr>
          <w:rFonts w:ascii="Times New Roman" w:hAnsi="Times New Roman"/>
          <w:sz w:val="24"/>
          <w:szCs w:val="24"/>
        </w:rPr>
        <w:t xml:space="preserve"> Decreto legislativo n. 33 del </w:t>
      </w:r>
      <w:r w:rsidRPr="00BD42D7">
        <w:rPr>
          <w:rFonts w:ascii="Times New Roman" w:hAnsi="Times New Roman"/>
          <w:sz w:val="24"/>
          <w:szCs w:val="24"/>
        </w:rPr>
        <w:t>2013 e dall’allegato alla delibera CIVIT</w:t>
      </w:r>
      <w:r>
        <w:rPr>
          <w:rFonts w:ascii="Times New Roman" w:hAnsi="Times New Roman"/>
          <w:sz w:val="24"/>
          <w:szCs w:val="24"/>
        </w:rPr>
        <w:t xml:space="preserve"> n. 50/2013</w:t>
      </w:r>
      <w:r w:rsidRPr="00BD42D7">
        <w:rPr>
          <w:rFonts w:ascii="Times New Roman" w:hAnsi="Times New Roman"/>
          <w:sz w:val="24"/>
          <w:szCs w:val="24"/>
        </w:rPr>
        <w:t>: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colonna 1) denominazione sotto-sezione livello 1 (suddivisione per macrofamiglie)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colonna 2) denominazione sotto-sezione livello 2 (suddivisione per tipologie di dati)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colonna 3) riferimento normativo d.lgs 33/2013 o altri riferimenti normativi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colonna 4) denominazione della singola pubblicazione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colonna 5) contenuto da pubblicare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colonna 6) stato della pubblicazione versione ufficiale del sito web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colonna 7) stato della pubblicazione versione sperimentale del sito web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colonna 8) anno 2014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colonna 9) anno 2015</w:t>
      </w: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colonna 10) anno 2016</w:t>
      </w: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Al fine di garantire il tempestivo e regolare flusso delle informazioni oggetto di pubblicazione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sul sito della Regione Campania ai sensi della normativa vigente, il Responsabile della Trasparenza 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richiesto, tramite circolare, a ciascuna struttura dell'amministrazione di individuare il nominativo di 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dirigente referente per la trasparenza che possa efficientemente garantire l'unitarietà di azione della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struttura di appartenenza. I nominativi dei referenti saranno disponibili sul portale nella sezione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dedicata.</w:t>
      </w:r>
    </w:p>
    <w:p w:rsidR="00F67DDE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Pr="00BD42D7" w:rsidRDefault="00F67DDE" w:rsidP="00F50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I singoli dirigenti sono, altresì, responsabili del dato e dell'individuazione dei contenuti del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programma e dell'attuazione delle relative previsioni. Tutti i dirigenti dell'Ente sono responsabili, per 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strutture di competenza, della predisposizione, dell’aggiornamento e della trasmissione dei dati oggetto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di pubblicazione alla Redazione Internet, nel rispetto della normativa sulla privacy.</w:t>
      </w:r>
    </w:p>
    <w:p w:rsidR="00F67DDE" w:rsidRDefault="00F67DDE" w:rsidP="00BD42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DDE" w:rsidRPr="00BD42D7" w:rsidRDefault="00F67DDE" w:rsidP="00BD42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2D7">
        <w:rPr>
          <w:rFonts w:ascii="Times New Roman" w:hAnsi="Times New Roman"/>
          <w:sz w:val="24"/>
          <w:szCs w:val="24"/>
        </w:rPr>
        <w:t>L'Unità Operativa Dirigenziale V Segreteria di Giunta “Bollettino Ufficiale – Ufficio relazione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con il pubblico (URP)” assicura la progressiva realizzazione delle procedure informatiche che facilitano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2D7">
        <w:rPr>
          <w:rFonts w:ascii="Times New Roman" w:hAnsi="Times New Roman"/>
          <w:sz w:val="24"/>
          <w:szCs w:val="24"/>
        </w:rPr>
        <w:t>la raccolta e pubblicazione dei dati.</w:t>
      </w:r>
    </w:p>
    <w:sectPr w:rsidR="00F67DDE" w:rsidRPr="00BD42D7" w:rsidSect="00F91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E08FD"/>
    <w:multiLevelType w:val="hybridMultilevel"/>
    <w:tmpl w:val="4FF25B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801AF"/>
    <w:rsid w:val="0000207F"/>
    <w:rsid w:val="00005BB7"/>
    <w:rsid w:val="000173AB"/>
    <w:rsid w:val="00027B02"/>
    <w:rsid w:val="00043A99"/>
    <w:rsid w:val="000515CA"/>
    <w:rsid w:val="00053A4B"/>
    <w:rsid w:val="0006186E"/>
    <w:rsid w:val="000618C0"/>
    <w:rsid w:val="0006264B"/>
    <w:rsid w:val="00066740"/>
    <w:rsid w:val="000854F3"/>
    <w:rsid w:val="000943B3"/>
    <w:rsid w:val="000A5697"/>
    <w:rsid w:val="000A777B"/>
    <w:rsid w:val="000B2103"/>
    <w:rsid w:val="000C265F"/>
    <w:rsid w:val="000F21FB"/>
    <w:rsid w:val="00116CFB"/>
    <w:rsid w:val="001434F6"/>
    <w:rsid w:val="00144B33"/>
    <w:rsid w:val="00151B38"/>
    <w:rsid w:val="00160033"/>
    <w:rsid w:val="00182DB2"/>
    <w:rsid w:val="00184691"/>
    <w:rsid w:val="00186478"/>
    <w:rsid w:val="001A19E6"/>
    <w:rsid w:val="001A3819"/>
    <w:rsid w:val="001B2D8E"/>
    <w:rsid w:val="001D0CC1"/>
    <w:rsid w:val="001F6F4A"/>
    <w:rsid w:val="00223EA8"/>
    <w:rsid w:val="00227E7F"/>
    <w:rsid w:val="002351B2"/>
    <w:rsid w:val="0027477B"/>
    <w:rsid w:val="00292017"/>
    <w:rsid w:val="00293079"/>
    <w:rsid w:val="002A1157"/>
    <w:rsid w:val="002B0F6E"/>
    <w:rsid w:val="002B4698"/>
    <w:rsid w:val="002B7A2F"/>
    <w:rsid w:val="002C0BFE"/>
    <w:rsid w:val="002D1E52"/>
    <w:rsid w:val="002D36DA"/>
    <w:rsid w:val="002E7F17"/>
    <w:rsid w:val="00315A56"/>
    <w:rsid w:val="0032625E"/>
    <w:rsid w:val="00340381"/>
    <w:rsid w:val="0036511F"/>
    <w:rsid w:val="00365E77"/>
    <w:rsid w:val="00371430"/>
    <w:rsid w:val="0037197C"/>
    <w:rsid w:val="00380B6D"/>
    <w:rsid w:val="003849BE"/>
    <w:rsid w:val="0039249D"/>
    <w:rsid w:val="00396B6B"/>
    <w:rsid w:val="003A5715"/>
    <w:rsid w:val="003A5F37"/>
    <w:rsid w:val="003E0451"/>
    <w:rsid w:val="003E7C30"/>
    <w:rsid w:val="00437672"/>
    <w:rsid w:val="00450995"/>
    <w:rsid w:val="00452117"/>
    <w:rsid w:val="00460C51"/>
    <w:rsid w:val="00462569"/>
    <w:rsid w:val="00470066"/>
    <w:rsid w:val="00472A0D"/>
    <w:rsid w:val="00475322"/>
    <w:rsid w:val="00477474"/>
    <w:rsid w:val="004B56C9"/>
    <w:rsid w:val="004C3037"/>
    <w:rsid w:val="004D7DF7"/>
    <w:rsid w:val="004E18F3"/>
    <w:rsid w:val="004E3E3E"/>
    <w:rsid w:val="004F1369"/>
    <w:rsid w:val="004F24A1"/>
    <w:rsid w:val="004F4C6A"/>
    <w:rsid w:val="004F588E"/>
    <w:rsid w:val="00501F9A"/>
    <w:rsid w:val="00507034"/>
    <w:rsid w:val="00531BFB"/>
    <w:rsid w:val="00542217"/>
    <w:rsid w:val="00544590"/>
    <w:rsid w:val="005564CE"/>
    <w:rsid w:val="00567718"/>
    <w:rsid w:val="00570A06"/>
    <w:rsid w:val="00581FF0"/>
    <w:rsid w:val="00582694"/>
    <w:rsid w:val="005B17DE"/>
    <w:rsid w:val="005C4C55"/>
    <w:rsid w:val="005D0EF6"/>
    <w:rsid w:val="005D61EA"/>
    <w:rsid w:val="005E5685"/>
    <w:rsid w:val="005E5D21"/>
    <w:rsid w:val="005F2F13"/>
    <w:rsid w:val="005F7B62"/>
    <w:rsid w:val="00601FA8"/>
    <w:rsid w:val="006048E4"/>
    <w:rsid w:val="00605E8E"/>
    <w:rsid w:val="006117B3"/>
    <w:rsid w:val="00617A7F"/>
    <w:rsid w:val="00617E16"/>
    <w:rsid w:val="00622604"/>
    <w:rsid w:val="00625A55"/>
    <w:rsid w:val="00635F4F"/>
    <w:rsid w:val="00667873"/>
    <w:rsid w:val="00672F8E"/>
    <w:rsid w:val="00685F4F"/>
    <w:rsid w:val="006902EB"/>
    <w:rsid w:val="006A200D"/>
    <w:rsid w:val="006C1756"/>
    <w:rsid w:val="006D6F81"/>
    <w:rsid w:val="006F7876"/>
    <w:rsid w:val="00704EB1"/>
    <w:rsid w:val="00711804"/>
    <w:rsid w:val="00715A8C"/>
    <w:rsid w:val="00724D0D"/>
    <w:rsid w:val="007315EE"/>
    <w:rsid w:val="0074772B"/>
    <w:rsid w:val="0077424F"/>
    <w:rsid w:val="00774C7F"/>
    <w:rsid w:val="00777D61"/>
    <w:rsid w:val="00797E1B"/>
    <w:rsid w:val="007A08AD"/>
    <w:rsid w:val="007A2491"/>
    <w:rsid w:val="007A64B5"/>
    <w:rsid w:val="007A7E60"/>
    <w:rsid w:val="007B02A9"/>
    <w:rsid w:val="007B3EC3"/>
    <w:rsid w:val="007C33CF"/>
    <w:rsid w:val="007D0B09"/>
    <w:rsid w:val="007D58C5"/>
    <w:rsid w:val="007E1FDE"/>
    <w:rsid w:val="007E3E06"/>
    <w:rsid w:val="007F5329"/>
    <w:rsid w:val="0080587C"/>
    <w:rsid w:val="00811519"/>
    <w:rsid w:val="00823993"/>
    <w:rsid w:val="00824112"/>
    <w:rsid w:val="0083118A"/>
    <w:rsid w:val="0086408C"/>
    <w:rsid w:val="00870388"/>
    <w:rsid w:val="008943EA"/>
    <w:rsid w:val="008B122F"/>
    <w:rsid w:val="008B6BDF"/>
    <w:rsid w:val="008C0E81"/>
    <w:rsid w:val="008C5465"/>
    <w:rsid w:val="008C54B0"/>
    <w:rsid w:val="008C736C"/>
    <w:rsid w:val="008F5124"/>
    <w:rsid w:val="00900010"/>
    <w:rsid w:val="009256A8"/>
    <w:rsid w:val="00926DDB"/>
    <w:rsid w:val="00940AF9"/>
    <w:rsid w:val="009412BA"/>
    <w:rsid w:val="00962BC1"/>
    <w:rsid w:val="009714C0"/>
    <w:rsid w:val="00986B78"/>
    <w:rsid w:val="00994405"/>
    <w:rsid w:val="009A0C47"/>
    <w:rsid w:val="009D4710"/>
    <w:rsid w:val="009D6B31"/>
    <w:rsid w:val="009D7C5B"/>
    <w:rsid w:val="00A002F5"/>
    <w:rsid w:val="00A04279"/>
    <w:rsid w:val="00A04D76"/>
    <w:rsid w:val="00A11289"/>
    <w:rsid w:val="00A25DB4"/>
    <w:rsid w:val="00A2658C"/>
    <w:rsid w:val="00A4619E"/>
    <w:rsid w:val="00A54516"/>
    <w:rsid w:val="00A56936"/>
    <w:rsid w:val="00A61C7C"/>
    <w:rsid w:val="00A721E0"/>
    <w:rsid w:val="00AB3E74"/>
    <w:rsid w:val="00AE73F9"/>
    <w:rsid w:val="00AE7B9D"/>
    <w:rsid w:val="00AF07EA"/>
    <w:rsid w:val="00AF4A2D"/>
    <w:rsid w:val="00AF4B25"/>
    <w:rsid w:val="00AF5EFD"/>
    <w:rsid w:val="00AF6AB0"/>
    <w:rsid w:val="00B00D11"/>
    <w:rsid w:val="00B02EA6"/>
    <w:rsid w:val="00B11783"/>
    <w:rsid w:val="00B2321C"/>
    <w:rsid w:val="00B24B42"/>
    <w:rsid w:val="00B277F0"/>
    <w:rsid w:val="00B30C9B"/>
    <w:rsid w:val="00B351A4"/>
    <w:rsid w:val="00B3565F"/>
    <w:rsid w:val="00B6134B"/>
    <w:rsid w:val="00B61C38"/>
    <w:rsid w:val="00B67C6B"/>
    <w:rsid w:val="00B71334"/>
    <w:rsid w:val="00B801AF"/>
    <w:rsid w:val="00BA29C2"/>
    <w:rsid w:val="00BA4300"/>
    <w:rsid w:val="00BA7130"/>
    <w:rsid w:val="00BC1DF7"/>
    <w:rsid w:val="00BD42D7"/>
    <w:rsid w:val="00BD4EBB"/>
    <w:rsid w:val="00BD50FC"/>
    <w:rsid w:val="00C0715A"/>
    <w:rsid w:val="00C122CF"/>
    <w:rsid w:val="00C12AC6"/>
    <w:rsid w:val="00C13212"/>
    <w:rsid w:val="00C14C99"/>
    <w:rsid w:val="00C27FA0"/>
    <w:rsid w:val="00C306E6"/>
    <w:rsid w:val="00C30AE7"/>
    <w:rsid w:val="00C31CB4"/>
    <w:rsid w:val="00C4721A"/>
    <w:rsid w:val="00C50704"/>
    <w:rsid w:val="00C5088D"/>
    <w:rsid w:val="00C51FA0"/>
    <w:rsid w:val="00C64B25"/>
    <w:rsid w:val="00C75B17"/>
    <w:rsid w:val="00C76555"/>
    <w:rsid w:val="00C76BC5"/>
    <w:rsid w:val="00C81EFE"/>
    <w:rsid w:val="00C9735B"/>
    <w:rsid w:val="00CA04CE"/>
    <w:rsid w:val="00CB14AC"/>
    <w:rsid w:val="00CB2E80"/>
    <w:rsid w:val="00CC7627"/>
    <w:rsid w:val="00CD2266"/>
    <w:rsid w:val="00CD398B"/>
    <w:rsid w:val="00CE3381"/>
    <w:rsid w:val="00CF18E1"/>
    <w:rsid w:val="00CF7AE9"/>
    <w:rsid w:val="00D02A87"/>
    <w:rsid w:val="00D20D77"/>
    <w:rsid w:val="00D25ABE"/>
    <w:rsid w:val="00D30FF4"/>
    <w:rsid w:val="00D44879"/>
    <w:rsid w:val="00D53D61"/>
    <w:rsid w:val="00D600FD"/>
    <w:rsid w:val="00D6343D"/>
    <w:rsid w:val="00D81DD1"/>
    <w:rsid w:val="00D83DA6"/>
    <w:rsid w:val="00D87719"/>
    <w:rsid w:val="00D91DD6"/>
    <w:rsid w:val="00DA2688"/>
    <w:rsid w:val="00DA36ED"/>
    <w:rsid w:val="00DC202A"/>
    <w:rsid w:val="00DE7E98"/>
    <w:rsid w:val="00DF5C57"/>
    <w:rsid w:val="00E10A3C"/>
    <w:rsid w:val="00E14337"/>
    <w:rsid w:val="00E269B8"/>
    <w:rsid w:val="00E361B0"/>
    <w:rsid w:val="00E43508"/>
    <w:rsid w:val="00E50CFD"/>
    <w:rsid w:val="00E513D0"/>
    <w:rsid w:val="00E54A4D"/>
    <w:rsid w:val="00E56547"/>
    <w:rsid w:val="00E60198"/>
    <w:rsid w:val="00E64B2C"/>
    <w:rsid w:val="00E666FB"/>
    <w:rsid w:val="00E66F8B"/>
    <w:rsid w:val="00E702C4"/>
    <w:rsid w:val="00E7227F"/>
    <w:rsid w:val="00E8356D"/>
    <w:rsid w:val="00E85C90"/>
    <w:rsid w:val="00E96A20"/>
    <w:rsid w:val="00EB0730"/>
    <w:rsid w:val="00EB75E9"/>
    <w:rsid w:val="00EC4793"/>
    <w:rsid w:val="00EC5919"/>
    <w:rsid w:val="00EE1DE1"/>
    <w:rsid w:val="00EE47C8"/>
    <w:rsid w:val="00EE6D06"/>
    <w:rsid w:val="00EE791D"/>
    <w:rsid w:val="00EF3D5B"/>
    <w:rsid w:val="00F02043"/>
    <w:rsid w:val="00F0782C"/>
    <w:rsid w:val="00F1102A"/>
    <w:rsid w:val="00F23FB2"/>
    <w:rsid w:val="00F27F62"/>
    <w:rsid w:val="00F34CF2"/>
    <w:rsid w:val="00F509C0"/>
    <w:rsid w:val="00F55056"/>
    <w:rsid w:val="00F6431A"/>
    <w:rsid w:val="00F67DDE"/>
    <w:rsid w:val="00F82B18"/>
    <w:rsid w:val="00F91E21"/>
    <w:rsid w:val="00FA77E4"/>
    <w:rsid w:val="00FB33C3"/>
    <w:rsid w:val="00FB3501"/>
    <w:rsid w:val="00FD6076"/>
    <w:rsid w:val="00FD675D"/>
    <w:rsid w:val="00FE5726"/>
    <w:rsid w:val="00FF179A"/>
    <w:rsid w:val="00FF3B41"/>
    <w:rsid w:val="00FF57F1"/>
    <w:rsid w:val="00FF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E2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5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53D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2209</Words>
  <Characters>12594</Characters>
  <Application>Microsoft Office Word</Application>
  <DocSecurity>0</DocSecurity>
  <Lines>104</Lines>
  <Paragraphs>29</Paragraphs>
  <ScaleCrop>false</ScaleCrop>
  <Company>RegioneCampania</Company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strategia della Regione Campania in materia di Anticorruzione e Trasparenza</dc:title>
  <dc:subject/>
  <dc:creator>ALBERTO DI FERRANTE</dc:creator>
  <cp:keywords/>
  <dc:description/>
  <cp:lastModifiedBy>Valeria</cp:lastModifiedBy>
  <cp:revision>2</cp:revision>
  <cp:lastPrinted>2014-02-04T15:36:00Z</cp:lastPrinted>
  <dcterms:created xsi:type="dcterms:W3CDTF">2014-02-20T15:58:00Z</dcterms:created>
  <dcterms:modified xsi:type="dcterms:W3CDTF">2014-02-20T15:58:00Z</dcterms:modified>
</cp:coreProperties>
</file>