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E8168" w14:textId="77777777" w:rsidR="006702E8" w:rsidRDefault="006702E8" w:rsidP="00284556">
      <w:pPr>
        <w:pBdr>
          <w:bottom w:val="single" w:sz="4" w:space="1" w:color="auto"/>
        </w:pBdr>
        <w:spacing w:after="0"/>
        <w:jc w:val="center"/>
        <w:outlineLvl w:val="0"/>
        <w:rPr>
          <w:rFonts w:ascii="Cambria" w:hAnsi="Cambria"/>
          <w:b/>
          <w:color w:val="1F497D"/>
          <w:sz w:val="36"/>
          <w:szCs w:val="36"/>
        </w:rPr>
      </w:pPr>
      <w:r w:rsidRPr="00D4498C">
        <w:rPr>
          <w:rFonts w:ascii="Cambria" w:hAnsi="Cambria"/>
          <w:b/>
          <w:color w:val="1F497D"/>
          <w:sz w:val="36"/>
          <w:szCs w:val="36"/>
        </w:rPr>
        <w:t>PIANO DI RAFFORZAMENTO AMMINISTRATIVO (PRA)</w:t>
      </w:r>
    </w:p>
    <w:p w14:paraId="07014752" w14:textId="03FC1D28" w:rsidR="00284556" w:rsidRPr="00D4498C" w:rsidRDefault="00284556" w:rsidP="005726A5">
      <w:pPr>
        <w:pBdr>
          <w:bottom w:val="single" w:sz="4" w:space="1" w:color="auto"/>
        </w:pBdr>
        <w:jc w:val="center"/>
        <w:outlineLvl w:val="0"/>
        <w:rPr>
          <w:rFonts w:ascii="Cambria" w:hAnsi="Cambria"/>
          <w:b/>
          <w:color w:val="1F497D"/>
          <w:sz w:val="36"/>
          <w:szCs w:val="36"/>
        </w:rPr>
      </w:pPr>
      <w:r>
        <w:rPr>
          <w:rFonts w:ascii="Cambria" w:hAnsi="Cambria"/>
          <w:b/>
          <w:color w:val="1F497D"/>
          <w:sz w:val="36"/>
          <w:szCs w:val="36"/>
        </w:rPr>
        <w:t>DEL</w:t>
      </w:r>
      <w:r w:rsidR="0012006E">
        <w:rPr>
          <w:rFonts w:ascii="Cambria" w:hAnsi="Cambria"/>
          <w:b/>
          <w:color w:val="1F497D"/>
          <w:sz w:val="36"/>
          <w:szCs w:val="36"/>
        </w:rPr>
        <w:t>LA REGIONE</w:t>
      </w:r>
      <w:r w:rsidR="009D3FF5">
        <w:rPr>
          <w:rFonts w:ascii="Cambria" w:hAnsi="Cambria"/>
          <w:b/>
          <w:color w:val="1F497D"/>
          <w:sz w:val="36"/>
          <w:szCs w:val="36"/>
        </w:rPr>
        <w:t xml:space="preserve"> CAMPANIA</w:t>
      </w:r>
    </w:p>
    <w:p w14:paraId="65B75A7B" w14:textId="77777777" w:rsidR="006702E8" w:rsidRDefault="006702E8" w:rsidP="006702E8">
      <w:pPr>
        <w:rPr>
          <w:rFonts w:ascii="Cambria" w:hAnsi="Cambria"/>
          <w:b/>
          <w:sz w:val="24"/>
          <w:szCs w:val="24"/>
        </w:rPr>
      </w:pPr>
    </w:p>
    <w:p w14:paraId="2055AB3A" w14:textId="77777777" w:rsidR="003F6B2A" w:rsidRPr="00D4498C" w:rsidRDefault="003F6B2A" w:rsidP="006702E8">
      <w:pPr>
        <w:rPr>
          <w:rFonts w:ascii="Cambria" w:hAnsi="Cambria"/>
          <w:b/>
          <w:sz w:val="24"/>
          <w:szCs w:val="24"/>
        </w:rPr>
      </w:pPr>
    </w:p>
    <w:p w14:paraId="46170982" w14:textId="48CC21D4" w:rsidR="00E50FA4" w:rsidRPr="00375D83" w:rsidRDefault="00621D2D" w:rsidP="00572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Times New Roman" w:hAnsi="Times New Roman" w:cs="Times New Roman"/>
          <w:b/>
          <w:color w:val="1F497D"/>
          <w:sz w:val="28"/>
          <w:szCs w:val="28"/>
        </w:rPr>
      </w:pPr>
      <w:r>
        <w:rPr>
          <w:rFonts w:ascii="Times New Roman" w:hAnsi="Times New Roman" w:cs="Times New Roman"/>
          <w:b/>
          <w:color w:val="1F497D"/>
          <w:sz w:val="28"/>
          <w:szCs w:val="28"/>
        </w:rPr>
        <w:t xml:space="preserve">Relazione qualitativa al </w:t>
      </w:r>
      <w:r w:rsidR="00A9372B">
        <w:rPr>
          <w:rFonts w:ascii="Times New Roman" w:hAnsi="Times New Roman" w:cs="Times New Roman"/>
          <w:b/>
          <w:color w:val="1F497D"/>
          <w:sz w:val="28"/>
          <w:szCs w:val="28"/>
        </w:rPr>
        <w:t>3</w:t>
      </w:r>
      <w:r w:rsidR="006114EA">
        <w:rPr>
          <w:rFonts w:ascii="Times New Roman" w:hAnsi="Times New Roman" w:cs="Times New Roman"/>
          <w:b/>
          <w:color w:val="1F497D"/>
          <w:sz w:val="28"/>
          <w:szCs w:val="28"/>
        </w:rPr>
        <w:t xml:space="preserve">° quadrimestre </w:t>
      </w:r>
      <w:r w:rsidR="00356D40">
        <w:rPr>
          <w:rFonts w:ascii="Times New Roman" w:hAnsi="Times New Roman" w:cs="Times New Roman"/>
          <w:b/>
          <w:color w:val="1F497D"/>
          <w:sz w:val="28"/>
          <w:szCs w:val="28"/>
        </w:rPr>
        <w:t>31</w:t>
      </w:r>
      <w:r w:rsidR="00EF7C5D">
        <w:rPr>
          <w:rFonts w:ascii="Times New Roman" w:hAnsi="Times New Roman" w:cs="Times New Roman"/>
          <w:b/>
          <w:color w:val="1F497D"/>
          <w:sz w:val="28"/>
          <w:szCs w:val="28"/>
        </w:rPr>
        <w:t xml:space="preserve"> </w:t>
      </w:r>
      <w:r w:rsidR="00A9372B">
        <w:rPr>
          <w:rFonts w:ascii="Times New Roman" w:hAnsi="Times New Roman" w:cs="Times New Roman"/>
          <w:b/>
          <w:color w:val="1F497D"/>
          <w:sz w:val="28"/>
          <w:szCs w:val="28"/>
        </w:rPr>
        <w:t>dicembre</w:t>
      </w:r>
      <w:r w:rsidR="00EF7C5D">
        <w:rPr>
          <w:rFonts w:ascii="Times New Roman" w:hAnsi="Times New Roman" w:cs="Times New Roman"/>
          <w:b/>
          <w:color w:val="1F497D"/>
          <w:sz w:val="28"/>
          <w:szCs w:val="28"/>
        </w:rPr>
        <w:t xml:space="preserve"> 2017</w:t>
      </w:r>
    </w:p>
    <w:p w14:paraId="7CD49E7C" w14:textId="77777777" w:rsidR="00A51962" w:rsidRPr="006702E8" w:rsidRDefault="00A51962" w:rsidP="006702E8">
      <w:pPr>
        <w:tabs>
          <w:tab w:val="left" w:pos="1883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D0E839" w14:textId="77777777" w:rsidR="00E50FA4" w:rsidRPr="003A5E04" w:rsidRDefault="00E50FA4" w:rsidP="005726A5">
      <w:pPr>
        <w:tabs>
          <w:tab w:val="left" w:pos="1883"/>
        </w:tabs>
        <w:spacing w:after="120" w:line="240" w:lineRule="auto"/>
        <w:jc w:val="both"/>
        <w:outlineLvl w:val="0"/>
        <w:rPr>
          <w:rFonts w:asciiTheme="majorHAnsi" w:eastAsia="Calibri" w:hAnsiTheme="majorHAnsi" w:cs="Times New Roman"/>
          <w:b/>
          <w:sz w:val="24"/>
          <w:szCs w:val="24"/>
        </w:rPr>
      </w:pPr>
      <w:r w:rsidRPr="003A5E04">
        <w:rPr>
          <w:rFonts w:asciiTheme="majorHAnsi" w:hAnsiTheme="majorHAnsi" w:cs="Times New Roman"/>
          <w:b/>
          <w:sz w:val="24"/>
          <w:szCs w:val="24"/>
        </w:rPr>
        <w:t>Introduzione</w:t>
      </w:r>
      <w:r w:rsidRPr="003A5E04">
        <w:rPr>
          <w:rFonts w:asciiTheme="majorHAnsi" w:hAnsiTheme="majorHAnsi" w:cs="Times New Roman"/>
          <w:b/>
          <w:sz w:val="24"/>
          <w:szCs w:val="24"/>
        </w:rPr>
        <w:tab/>
      </w:r>
    </w:p>
    <w:p w14:paraId="73F78AB6" w14:textId="0BF65706" w:rsidR="00C30621" w:rsidRPr="00E530E6" w:rsidRDefault="00C30621" w:rsidP="00E530E6">
      <w:pPr>
        <w:pStyle w:val="Paragrafoelenco"/>
        <w:spacing w:before="120" w:after="120" w:line="240" w:lineRule="auto"/>
        <w:ind w:left="0" w:firstLine="454"/>
        <w:contextualSpacing w:val="0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 xml:space="preserve">Nel </w:t>
      </w:r>
      <w:r w:rsidR="00A9372B">
        <w:rPr>
          <w:rFonts w:asciiTheme="majorHAnsi" w:eastAsia="Calibri" w:hAnsiTheme="majorHAnsi" w:cs="Times New Roman"/>
          <w:sz w:val="20"/>
          <w:szCs w:val="20"/>
        </w:rPr>
        <w:t>terzo</w:t>
      </w:r>
      <w:r>
        <w:rPr>
          <w:rFonts w:asciiTheme="majorHAnsi" w:eastAsia="Calibri" w:hAnsiTheme="majorHAnsi" w:cs="Times New Roman"/>
          <w:sz w:val="20"/>
          <w:szCs w:val="20"/>
        </w:rPr>
        <w:t xml:space="preserve"> quadrimestre del 2017 </w:t>
      </w:r>
      <w:r w:rsidR="00E530E6">
        <w:rPr>
          <w:rFonts w:asciiTheme="majorHAnsi" w:eastAsia="Calibri" w:hAnsiTheme="majorHAnsi" w:cs="Times New Roman"/>
          <w:sz w:val="20"/>
          <w:szCs w:val="20"/>
        </w:rPr>
        <w:t xml:space="preserve">si sono registrati ulteriori avanzamenti delle azioni di miglioramento in corso, alcune delle quali sono state completate. </w:t>
      </w:r>
      <w:r w:rsidR="00704421" w:rsidRPr="00E530E6">
        <w:rPr>
          <w:rFonts w:asciiTheme="majorHAnsi" w:eastAsia="Calibri" w:hAnsiTheme="majorHAnsi" w:cs="Times New Roman"/>
          <w:sz w:val="20"/>
          <w:szCs w:val="20"/>
        </w:rPr>
        <w:t>Nella sezione 1 si fornisce il dettaglio d</w:t>
      </w:r>
      <w:r w:rsidR="008E2E5A">
        <w:rPr>
          <w:rFonts w:asciiTheme="majorHAnsi" w:eastAsia="Calibri" w:hAnsiTheme="majorHAnsi" w:cs="Times New Roman"/>
          <w:sz w:val="20"/>
          <w:szCs w:val="20"/>
        </w:rPr>
        <w:t xml:space="preserve">i tali </w:t>
      </w:r>
      <w:r w:rsidR="00704421" w:rsidRPr="00E530E6">
        <w:rPr>
          <w:rFonts w:asciiTheme="majorHAnsi" w:eastAsia="Calibri" w:hAnsiTheme="majorHAnsi" w:cs="Times New Roman"/>
          <w:sz w:val="20"/>
          <w:szCs w:val="20"/>
        </w:rPr>
        <w:t>avanzamenti</w:t>
      </w:r>
      <w:r w:rsidR="008E2E5A">
        <w:rPr>
          <w:rFonts w:asciiTheme="majorHAnsi" w:eastAsia="Calibri" w:hAnsiTheme="majorHAnsi" w:cs="Times New Roman"/>
          <w:sz w:val="20"/>
          <w:szCs w:val="20"/>
        </w:rPr>
        <w:t>.</w:t>
      </w:r>
    </w:p>
    <w:p w14:paraId="5C05C5C0" w14:textId="11F11779" w:rsidR="00882676" w:rsidRDefault="00882676" w:rsidP="00882676">
      <w:pPr>
        <w:pStyle w:val="Paragrafoelenco"/>
        <w:spacing w:before="120" w:after="0" w:line="240" w:lineRule="auto"/>
        <w:ind w:left="0" w:firstLine="454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Per quanto riguarda i</w:t>
      </w:r>
      <w:r w:rsidR="001B7AF6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E530E6">
        <w:rPr>
          <w:rFonts w:asciiTheme="majorHAnsi" w:eastAsia="Calibri" w:hAnsiTheme="majorHAnsi" w:cs="Times New Roman"/>
          <w:sz w:val="20"/>
          <w:szCs w:val="20"/>
        </w:rPr>
        <w:t xml:space="preserve">Programmi, </w:t>
      </w:r>
      <w:r w:rsidR="008E2E5A">
        <w:rPr>
          <w:rFonts w:asciiTheme="majorHAnsi" w:eastAsia="Calibri" w:hAnsiTheme="majorHAnsi" w:cs="Times New Roman"/>
          <w:sz w:val="20"/>
          <w:szCs w:val="20"/>
        </w:rPr>
        <w:t>F</w:t>
      </w:r>
      <w:r w:rsidR="00E530E6">
        <w:rPr>
          <w:rFonts w:asciiTheme="majorHAnsi" w:eastAsia="Calibri" w:hAnsiTheme="majorHAnsi" w:cs="Times New Roman"/>
          <w:sz w:val="20"/>
          <w:szCs w:val="20"/>
        </w:rPr>
        <w:t xml:space="preserve">ESR </w:t>
      </w:r>
      <w:proofErr w:type="gramStart"/>
      <w:r>
        <w:rPr>
          <w:rFonts w:asciiTheme="majorHAnsi" w:eastAsia="Calibri" w:hAnsiTheme="majorHAnsi" w:cs="Times New Roman"/>
          <w:sz w:val="20"/>
          <w:szCs w:val="20"/>
        </w:rPr>
        <w:t xml:space="preserve">ed </w:t>
      </w:r>
      <w:r w:rsidR="008E2E5A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E530E6">
        <w:rPr>
          <w:rFonts w:asciiTheme="majorHAnsi" w:eastAsia="Calibri" w:hAnsiTheme="majorHAnsi" w:cs="Times New Roman"/>
          <w:sz w:val="20"/>
          <w:szCs w:val="20"/>
        </w:rPr>
        <w:t>FSE</w:t>
      </w:r>
      <w:proofErr w:type="gramEnd"/>
      <w:r w:rsidR="008E2E5A">
        <w:rPr>
          <w:rFonts w:asciiTheme="majorHAnsi" w:eastAsia="Calibri" w:hAnsiTheme="majorHAnsi" w:cs="Times New Roman"/>
          <w:sz w:val="20"/>
          <w:szCs w:val="20"/>
        </w:rPr>
        <w:t>,</w:t>
      </w:r>
      <w:r w:rsidR="001B7AF6" w:rsidRPr="001B7AF6">
        <w:rPr>
          <w:rFonts w:asciiTheme="majorHAnsi" w:eastAsia="Calibri" w:hAnsiTheme="majorHAnsi" w:cs="Times New Roman"/>
          <w:sz w:val="20"/>
          <w:szCs w:val="20"/>
        </w:rPr>
        <w:t xml:space="preserve"> </w:t>
      </w:r>
      <w:r>
        <w:rPr>
          <w:rFonts w:asciiTheme="majorHAnsi" w:eastAsia="Calibri" w:hAnsiTheme="majorHAnsi" w:cs="Times New Roman"/>
          <w:sz w:val="20"/>
          <w:szCs w:val="20"/>
        </w:rPr>
        <w:t>dopo la fase di elaborazione delle ipotesi di riprogrammazione, e la successiva  formalizzazione delle modifiche, avvenuta il 27/12/2017 per il FESR e …..per il FSE,  si è in attesa delle decisioni della CE in corso di formalizzazione.</w:t>
      </w:r>
    </w:p>
    <w:p w14:paraId="6A942452" w14:textId="79C5BB60" w:rsidR="00AC6D4C" w:rsidRPr="00AC6D4C" w:rsidRDefault="00882676" w:rsidP="00AC6D4C">
      <w:pPr>
        <w:spacing w:after="0"/>
        <w:jc w:val="both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Entrambi i Programmi sono in una fase avanzata di programmazione delle risorse</w:t>
      </w:r>
      <w:r w:rsidR="00D13A65">
        <w:rPr>
          <w:rFonts w:asciiTheme="majorHAnsi" w:eastAsia="Calibri" w:hAnsiTheme="majorHAnsi" w:cs="Times New Roman"/>
          <w:sz w:val="20"/>
          <w:szCs w:val="20"/>
        </w:rPr>
        <w:t xml:space="preserve">.  </w:t>
      </w:r>
      <w:r w:rsidR="00AC6D4C" w:rsidRPr="00AC6D4C">
        <w:rPr>
          <w:rFonts w:asciiTheme="majorHAnsi" w:eastAsia="Calibri" w:hAnsiTheme="majorHAnsi" w:cs="Times New Roman"/>
          <w:sz w:val="20"/>
          <w:szCs w:val="20"/>
        </w:rPr>
        <w:t xml:space="preserve">Per il FESR a gennaio 2018, risultano programmate risorse per più di 2,89 miliardi di euro, pari a circa il 71% del totale delle risorse disponibili sul Programma (€ 4,113 miliardi). </w:t>
      </w:r>
      <w:r w:rsidR="00457281">
        <w:rPr>
          <w:rFonts w:asciiTheme="majorHAnsi" w:eastAsia="Calibri" w:hAnsiTheme="majorHAnsi" w:cs="Times New Roman"/>
          <w:sz w:val="20"/>
          <w:szCs w:val="20"/>
        </w:rPr>
        <w:t>Per il FSE, ….</w:t>
      </w:r>
    </w:p>
    <w:p w14:paraId="5B8074E0" w14:textId="21C02CC4" w:rsidR="00E530E6" w:rsidRDefault="00D13A65" w:rsidP="00C30621">
      <w:pPr>
        <w:pStyle w:val="Paragrafoelenco"/>
        <w:spacing w:before="120" w:after="0" w:line="240" w:lineRule="auto"/>
        <w:ind w:left="0" w:firstLine="454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Gli uffici regionali sono attualmente impegnati nell’attu</w:t>
      </w:r>
      <w:r w:rsidR="0082648C">
        <w:rPr>
          <w:rFonts w:asciiTheme="majorHAnsi" w:eastAsia="Calibri" w:hAnsiTheme="majorHAnsi" w:cs="Times New Roman"/>
          <w:sz w:val="20"/>
          <w:szCs w:val="20"/>
        </w:rPr>
        <w:t>a</w:t>
      </w:r>
      <w:r>
        <w:rPr>
          <w:rFonts w:asciiTheme="majorHAnsi" w:eastAsia="Calibri" w:hAnsiTheme="majorHAnsi" w:cs="Times New Roman"/>
          <w:sz w:val="20"/>
          <w:szCs w:val="20"/>
        </w:rPr>
        <w:t>zione</w:t>
      </w:r>
      <w:r w:rsidR="0082648C">
        <w:rPr>
          <w:rFonts w:asciiTheme="majorHAnsi" w:eastAsia="Calibri" w:hAnsiTheme="majorHAnsi" w:cs="Times New Roman"/>
          <w:sz w:val="20"/>
          <w:szCs w:val="20"/>
        </w:rPr>
        <w:t xml:space="preserve"> dei Programmi</w:t>
      </w:r>
      <w:r w:rsidR="00AC6D4C">
        <w:rPr>
          <w:rFonts w:asciiTheme="majorHAnsi" w:eastAsia="Calibri" w:hAnsiTheme="majorHAnsi" w:cs="Times New Roman"/>
          <w:sz w:val="20"/>
          <w:szCs w:val="20"/>
        </w:rPr>
        <w:t>.</w:t>
      </w:r>
    </w:p>
    <w:p w14:paraId="46476D00" w14:textId="77777777" w:rsidR="006945B7" w:rsidRDefault="006945B7" w:rsidP="003F3490">
      <w:pPr>
        <w:spacing w:after="120" w:line="240" w:lineRule="auto"/>
        <w:jc w:val="both"/>
        <w:outlineLvl w:val="0"/>
        <w:rPr>
          <w:rFonts w:asciiTheme="majorHAnsi" w:eastAsia="Calibri" w:hAnsiTheme="majorHAnsi" w:cs="Times New Roman"/>
          <w:b/>
          <w:sz w:val="24"/>
          <w:szCs w:val="24"/>
          <w:u w:val="single"/>
        </w:rPr>
      </w:pPr>
    </w:p>
    <w:p w14:paraId="71306697" w14:textId="3CE2955B" w:rsidR="00621D2D" w:rsidRPr="003A5E04" w:rsidRDefault="00114A70" w:rsidP="003F3490">
      <w:pPr>
        <w:spacing w:after="120" w:line="240" w:lineRule="auto"/>
        <w:jc w:val="both"/>
        <w:outlineLvl w:val="0"/>
        <w:rPr>
          <w:rFonts w:asciiTheme="majorHAnsi" w:eastAsia="Calibri" w:hAnsiTheme="majorHAnsi" w:cs="Times New Roman"/>
          <w:b/>
          <w:sz w:val="24"/>
          <w:szCs w:val="24"/>
          <w:u w:val="single"/>
        </w:rPr>
      </w:pPr>
      <w:r w:rsidRPr="003A5E04">
        <w:rPr>
          <w:rFonts w:asciiTheme="majorHAnsi" w:eastAsia="Calibri" w:hAnsiTheme="majorHAnsi" w:cs="Times New Roman"/>
          <w:b/>
          <w:sz w:val="24"/>
          <w:szCs w:val="24"/>
          <w:u w:val="single"/>
        </w:rPr>
        <w:t>Sezione 1</w:t>
      </w:r>
      <w:r w:rsidRPr="003A5E04">
        <w:rPr>
          <w:rFonts w:asciiTheme="majorHAnsi" w:hAnsiTheme="majorHAnsi" w:cs="Times New Roman"/>
          <w:b/>
          <w:sz w:val="24"/>
          <w:szCs w:val="24"/>
          <w:u w:val="single"/>
        </w:rPr>
        <w:t>.</w:t>
      </w:r>
      <w:r w:rsidRPr="003A5E04">
        <w:rPr>
          <w:rFonts w:asciiTheme="majorHAnsi" w:eastAsia="Calibri" w:hAnsiTheme="majorHAnsi" w:cs="Times New Roman"/>
          <w:b/>
          <w:sz w:val="24"/>
          <w:szCs w:val="24"/>
          <w:u w:val="single"/>
        </w:rPr>
        <w:t xml:space="preserve"> Avanzamento degli interventi di rafforzamento amministrativo</w:t>
      </w:r>
      <w:r w:rsidR="003F3490" w:rsidRPr="003A5E04">
        <w:rPr>
          <w:rFonts w:asciiTheme="majorHAnsi" w:eastAsia="Calibri" w:hAnsiTheme="majorHAnsi" w:cs="Times New Roman"/>
          <w:b/>
          <w:sz w:val="24"/>
          <w:szCs w:val="24"/>
          <w:u w:val="single"/>
        </w:rPr>
        <w:t xml:space="preserve"> </w:t>
      </w:r>
    </w:p>
    <w:p w14:paraId="792EE365" w14:textId="1B55848D" w:rsidR="00855AAA" w:rsidRPr="00855AAA" w:rsidRDefault="00855AAA" w:rsidP="00336254">
      <w:pPr>
        <w:spacing w:before="120" w:after="0" w:line="240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855AAA">
        <w:rPr>
          <w:rFonts w:asciiTheme="majorHAnsi" w:eastAsia="Calibri" w:hAnsiTheme="majorHAnsi" w:cs="Times New Roman"/>
          <w:sz w:val="20"/>
          <w:szCs w:val="20"/>
        </w:rPr>
        <w:t>Si evidenzia di seguito l’avanzamento degli interventi di rafforzamento amministrativo più significativi</w:t>
      </w:r>
      <w:r w:rsidR="00336254">
        <w:rPr>
          <w:rFonts w:asciiTheme="majorHAnsi" w:eastAsia="Calibri" w:hAnsiTheme="majorHAnsi" w:cs="Times New Roman"/>
          <w:sz w:val="20"/>
          <w:szCs w:val="20"/>
        </w:rPr>
        <w:t>, rinviando per informazioni di maggiore dettaglio alle indicazioni contenute nelle schede di monitoraggio</w:t>
      </w:r>
      <w:r w:rsidR="008E2E5A">
        <w:rPr>
          <w:rFonts w:asciiTheme="majorHAnsi" w:eastAsia="Calibri" w:hAnsiTheme="majorHAnsi" w:cs="Times New Roman"/>
          <w:sz w:val="20"/>
          <w:szCs w:val="20"/>
        </w:rPr>
        <w:t>.</w:t>
      </w:r>
      <w:r w:rsidRPr="00855AAA">
        <w:rPr>
          <w:rFonts w:asciiTheme="majorHAnsi" w:eastAsia="Calibri" w:hAnsiTheme="majorHAnsi" w:cs="Times New Roman"/>
          <w:sz w:val="20"/>
          <w:szCs w:val="20"/>
        </w:rPr>
        <w:t xml:space="preserve">  </w:t>
      </w:r>
    </w:p>
    <w:p w14:paraId="4076727D" w14:textId="5A47C35C" w:rsidR="00ED5B59" w:rsidRDefault="00457281" w:rsidP="002C5FD0">
      <w:pPr>
        <w:spacing w:before="120" w:after="0" w:line="259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 xml:space="preserve">Prosegue </w:t>
      </w:r>
      <w:r w:rsidR="00ED5B59">
        <w:rPr>
          <w:rFonts w:asciiTheme="majorHAnsi" w:eastAsia="Calibri" w:hAnsiTheme="majorHAnsi" w:cs="Times New Roman"/>
          <w:sz w:val="20"/>
          <w:szCs w:val="20"/>
        </w:rPr>
        <w:t xml:space="preserve">il confronto periodico tra le Autorità di Gestione e i </w:t>
      </w:r>
      <w:r w:rsidR="00ED5B59" w:rsidRPr="000E581C">
        <w:rPr>
          <w:rFonts w:asciiTheme="majorHAnsi" w:eastAsia="Calibri" w:hAnsiTheme="majorHAnsi" w:cs="Times New Roman"/>
          <w:sz w:val="20"/>
          <w:szCs w:val="20"/>
        </w:rPr>
        <w:t>Responsabili di Obiettivo Specifico</w:t>
      </w:r>
      <w:r w:rsidR="00ED5B59">
        <w:rPr>
          <w:rFonts w:asciiTheme="majorHAnsi" w:eastAsia="Calibri" w:hAnsiTheme="majorHAnsi" w:cs="Times New Roman"/>
          <w:sz w:val="20"/>
          <w:szCs w:val="20"/>
        </w:rPr>
        <w:t xml:space="preserve">, volto alla verifica </w:t>
      </w:r>
      <w:r>
        <w:rPr>
          <w:rFonts w:asciiTheme="majorHAnsi" w:eastAsia="Calibri" w:hAnsiTheme="majorHAnsi" w:cs="Times New Roman"/>
          <w:sz w:val="20"/>
          <w:szCs w:val="20"/>
        </w:rPr>
        <w:t xml:space="preserve">dello stato </w:t>
      </w:r>
      <w:r w:rsidR="00ED5B59">
        <w:rPr>
          <w:rFonts w:asciiTheme="majorHAnsi" w:eastAsia="Calibri" w:hAnsiTheme="majorHAnsi" w:cs="Times New Roman"/>
          <w:sz w:val="20"/>
          <w:szCs w:val="20"/>
        </w:rPr>
        <w:t xml:space="preserve">e delle prospettive </w:t>
      </w:r>
      <w:r>
        <w:rPr>
          <w:rFonts w:asciiTheme="majorHAnsi" w:eastAsia="Calibri" w:hAnsiTheme="majorHAnsi" w:cs="Times New Roman"/>
          <w:sz w:val="20"/>
          <w:szCs w:val="20"/>
        </w:rPr>
        <w:t xml:space="preserve">di attuazione </w:t>
      </w:r>
      <w:r w:rsidR="00E530E6">
        <w:rPr>
          <w:rFonts w:asciiTheme="majorHAnsi" w:eastAsia="Calibri" w:hAnsiTheme="majorHAnsi" w:cs="Times New Roman"/>
          <w:sz w:val="20"/>
          <w:szCs w:val="20"/>
        </w:rPr>
        <w:t xml:space="preserve">della </w:t>
      </w:r>
      <w:r w:rsidR="00855AAA" w:rsidRPr="000E581C">
        <w:rPr>
          <w:rFonts w:asciiTheme="majorHAnsi" w:eastAsia="Calibri" w:hAnsiTheme="majorHAnsi" w:cs="Times New Roman"/>
          <w:sz w:val="20"/>
          <w:szCs w:val="20"/>
        </w:rPr>
        <w:t>pianificazione</w:t>
      </w:r>
      <w:r w:rsidR="00ED5B59">
        <w:rPr>
          <w:rFonts w:asciiTheme="majorHAnsi" w:eastAsia="Calibri" w:hAnsiTheme="majorHAnsi" w:cs="Times New Roman"/>
          <w:sz w:val="20"/>
          <w:szCs w:val="20"/>
        </w:rPr>
        <w:t>. Tale attività, condotta sulla base degli strumenti previsti dal PRA, risulta particolarmente rilevante in vista dei traguardi da raggiungere entro dicembre 2018.</w:t>
      </w:r>
    </w:p>
    <w:p w14:paraId="101D9773" w14:textId="6DF1EB46" w:rsidR="00ED5B59" w:rsidRDefault="00ED5B59" w:rsidP="002C5FD0">
      <w:pPr>
        <w:spacing w:before="120" w:after="0" w:line="259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 xml:space="preserve">Anche per il 2018, in linea con l’intervento previsto dal PRA, nel Piano della Performance, tra gli obiettivi dei dirigenti responsabili dell’attuazione dei Programmi sono stati inclusi i target finanziari, di output e </w:t>
      </w:r>
      <w:proofErr w:type="spellStart"/>
      <w:r>
        <w:rPr>
          <w:rFonts w:asciiTheme="majorHAnsi" w:eastAsia="Calibri" w:hAnsiTheme="majorHAnsi" w:cs="Times New Roman"/>
          <w:sz w:val="20"/>
          <w:szCs w:val="20"/>
        </w:rPr>
        <w:t>key</w:t>
      </w:r>
      <w:proofErr w:type="spellEnd"/>
      <w:r>
        <w:rPr>
          <w:rFonts w:asciiTheme="majorHAnsi" w:eastAsia="Calibri" w:hAnsiTheme="majorHAnsi" w:cs="Times New Roman"/>
          <w:sz w:val="20"/>
          <w:szCs w:val="20"/>
        </w:rPr>
        <w:t xml:space="preserve"> </w:t>
      </w:r>
      <w:proofErr w:type="spellStart"/>
      <w:r>
        <w:rPr>
          <w:rFonts w:asciiTheme="majorHAnsi" w:eastAsia="Calibri" w:hAnsiTheme="majorHAnsi" w:cs="Times New Roman"/>
          <w:sz w:val="20"/>
          <w:szCs w:val="20"/>
        </w:rPr>
        <w:t>implementation</w:t>
      </w:r>
      <w:proofErr w:type="spellEnd"/>
      <w:r>
        <w:rPr>
          <w:rFonts w:asciiTheme="majorHAnsi" w:eastAsia="Calibri" w:hAnsiTheme="majorHAnsi" w:cs="Times New Roman"/>
          <w:sz w:val="20"/>
          <w:szCs w:val="20"/>
        </w:rPr>
        <w:t xml:space="preserve"> previsti dal performance framework dei Programmi regionali.</w:t>
      </w:r>
    </w:p>
    <w:p w14:paraId="5A98A962" w14:textId="02D954BA" w:rsidR="006D522A" w:rsidRDefault="00256D10" w:rsidP="000226F2">
      <w:pPr>
        <w:spacing w:before="120" w:after="0" w:line="259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Relativamente a</w:t>
      </w:r>
      <w:r w:rsidR="00855AAA" w:rsidRPr="002C5FD0">
        <w:rPr>
          <w:rFonts w:asciiTheme="majorHAnsi" w:eastAsia="Calibri" w:hAnsiTheme="majorHAnsi" w:cs="Times New Roman"/>
          <w:sz w:val="20"/>
          <w:szCs w:val="20"/>
        </w:rPr>
        <w:t>i sistemi informativi,</w:t>
      </w:r>
      <w:r w:rsidR="000226F2">
        <w:rPr>
          <w:rFonts w:asciiTheme="majorHAnsi" w:eastAsia="Calibri" w:hAnsiTheme="majorHAnsi" w:cs="Times New Roman"/>
          <w:sz w:val="20"/>
          <w:szCs w:val="20"/>
        </w:rPr>
        <w:t xml:space="preserve"> in</w:t>
      </w:r>
      <w:r w:rsidR="006C1420">
        <w:rPr>
          <w:rFonts w:asciiTheme="majorHAnsi" w:eastAsia="Calibri" w:hAnsiTheme="majorHAnsi" w:cs="Times New Roman"/>
          <w:sz w:val="20"/>
          <w:szCs w:val="20"/>
        </w:rPr>
        <w:t xml:space="preserve"> tema di interoperabilità dell’</w:t>
      </w:r>
      <w:r w:rsidR="000226F2">
        <w:rPr>
          <w:rFonts w:asciiTheme="majorHAnsi" w:eastAsia="Calibri" w:hAnsiTheme="majorHAnsi" w:cs="Times New Roman"/>
          <w:sz w:val="20"/>
          <w:szCs w:val="20"/>
        </w:rPr>
        <w:t xml:space="preserve">applicativo unico di monitoraggio dei Fondi con gli altri sistemi in uso presso la regione Campania, si </w:t>
      </w:r>
      <w:r w:rsidR="0082648C">
        <w:rPr>
          <w:rFonts w:asciiTheme="majorHAnsi" w:eastAsia="Calibri" w:hAnsiTheme="majorHAnsi" w:cs="Times New Roman"/>
          <w:sz w:val="20"/>
          <w:szCs w:val="20"/>
        </w:rPr>
        <w:t xml:space="preserve">conferma così come descritto nella precedente relazione, </w:t>
      </w:r>
      <w:r w:rsidR="000226F2">
        <w:rPr>
          <w:rFonts w:asciiTheme="majorHAnsi" w:eastAsia="Calibri" w:hAnsiTheme="majorHAnsi" w:cs="Times New Roman"/>
          <w:sz w:val="20"/>
          <w:szCs w:val="20"/>
        </w:rPr>
        <w:t>un ritardo nel lavoro di progettazione e realizzazione delle relative funzionalità. P</w:t>
      </w:r>
      <w:r w:rsidR="007E740E">
        <w:rPr>
          <w:rFonts w:asciiTheme="majorHAnsi" w:eastAsia="Calibri" w:hAnsiTheme="majorHAnsi" w:cs="Times New Roman"/>
          <w:sz w:val="20"/>
          <w:szCs w:val="20"/>
        </w:rPr>
        <w:t>ro</w:t>
      </w:r>
      <w:r w:rsidR="008E2E5A">
        <w:rPr>
          <w:rFonts w:asciiTheme="majorHAnsi" w:eastAsia="Calibri" w:hAnsiTheme="majorHAnsi" w:cs="Times New Roman"/>
          <w:sz w:val="20"/>
          <w:szCs w:val="20"/>
        </w:rPr>
        <w:t>segue</w:t>
      </w:r>
      <w:r w:rsidR="000226F2">
        <w:rPr>
          <w:rFonts w:asciiTheme="majorHAnsi" w:eastAsia="Calibri" w:hAnsiTheme="majorHAnsi" w:cs="Times New Roman"/>
          <w:sz w:val="20"/>
          <w:szCs w:val="20"/>
        </w:rPr>
        <w:t xml:space="preserve"> </w:t>
      </w:r>
      <w:proofErr w:type="gramStart"/>
      <w:r w:rsidR="000226F2">
        <w:rPr>
          <w:rFonts w:asciiTheme="majorHAnsi" w:eastAsia="Calibri" w:hAnsiTheme="majorHAnsi" w:cs="Times New Roman"/>
          <w:sz w:val="20"/>
          <w:szCs w:val="20"/>
        </w:rPr>
        <w:t xml:space="preserve">invece </w:t>
      </w:r>
      <w:r w:rsidR="008E2E5A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6D522A">
        <w:rPr>
          <w:rFonts w:asciiTheme="majorHAnsi" w:eastAsia="Calibri" w:hAnsiTheme="majorHAnsi" w:cs="Times New Roman"/>
          <w:sz w:val="20"/>
          <w:szCs w:val="20"/>
        </w:rPr>
        <w:t>l’attività</w:t>
      </w:r>
      <w:proofErr w:type="gramEnd"/>
      <w:r w:rsidR="006D522A">
        <w:rPr>
          <w:rFonts w:asciiTheme="majorHAnsi" w:eastAsia="Calibri" w:hAnsiTheme="majorHAnsi" w:cs="Times New Roman"/>
          <w:sz w:val="20"/>
          <w:szCs w:val="20"/>
        </w:rPr>
        <w:t xml:space="preserve"> di caricamento dei dati, contestualmente </w:t>
      </w:r>
      <w:r w:rsidR="007E740E">
        <w:rPr>
          <w:rFonts w:asciiTheme="majorHAnsi" w:eastAsia="Calibri" w:hAnsiTheme="majorHAnsi" w:cs="Times New Roman"/>
          <w:sz w:val="20"/>
          <w:szCs w:val="20"/>
        </w:rPr>
        <w:t xml:space="preserve">alla </w:t>
      </w:r>
      <w:r w:rsidR="008E2E5A">
        <w:rPr>
          <w:rFonts w:asciiTheme="majorHAnsi" w:eastAsia="Calibri" w:hAnsiTheme="majorHAnsi" w:cs="Times New Roman"/>
          <w:sz w:val="20"/>
          <w:szCs w:val="20"/>
        </w:rPr>
        <w:t>realizzazione</w:t>
      </w:r>
      <w:r w:rsidR="007E740E">
        <w:rPr>
          <w:rFonts w:asciiTheme="majorHAnsi" w:eastAsia="Calibri" w:hAnsiTheme="majorHAnsi" w:cs="Times New Roman"/>
          <w:sz w:val="20"/>
          <w:szCs w:val="20"/>
        </w:rPr>
        <w:t xml:space="preserve"> delle </w:t>
      </w:r>
      <w:r w:rsidR="007E740E" w:rsidRPr="00256D10">
        <w:rPr>
          <w:rFonts w:asciiTheme="majorHAnsi" w:eastAsia="Calibri" w:hAnsiTheme="majorHAnsi" w:cs="Times New Roman"/>
          <w:sz w:val="20"/>
          <w:szCs w:val="20"/>
        </w:rPr>
        <w:t>attività di formazione del personale</w:t>
      </w:r>
      <w:r w:rsidR="007E740E">
        <w:rPr>
          <w:rFonts w:asciiTheme="majorHAnsi" w:eastAsia="Calibri" w:hAnsiTheme="majorHAnsi" w:cs="Times New Roman"/>
          <w:sz w:val="20"/>
          <w:szCs w:val="20"/>
        </w:rPr>
        <w:t xml:space="preserve"> addetto a tale compito</w:t>
      </w:r>
      <w:r w:rsidR="000226F2">
        <w:rPr>
          <w:rFonts w:asciiTheme="majorHAnsi" w:eastAsia="Calibri" w:hAnsiTheme="majorHAnsi" w:cs="Times New Roman"/>
          <w:sz w:val="20"/>
          <w:szCs w:val="20"/>
        </w:rPr>
        <w:t>.</w:t>
      </w:r>
      <w:bookmarkStart w:id="0" w:name="_GoBack"/>
      <w:bookmarkEnd w:id="0"/>
    </w:p>
    <w:p w14:paraId="7D94850E" w14:textId="530A2FC0" w:rsidR="000226F2" w:rsidRDefault="000226F2" w:rsidP="000226F2">
      <w:pPr>
        <w:spacing w:before="120" w:after="0" w:line="259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 xml:space="preserve">Vanno evidenziati anche due interventi </w:t>
      </w:r>
      <w:r w:rsidR="000A5D0C">
        <w:rPr>
          <w:rFonts w:asciiTheme="majorHAnsi" w:eastAsia="Calibri" w:hAnsiTheme="majorHAnsi" w:cs="Times New Roman"/>
          <w:sz w:val="20"/>
          <w:szCs w:val="20"/>
        </w:rPr>
        <w:t xml:space="preserve">di rafforzamento pienamente attuati </w:t>
      </w:r>
      <w:r>
        <w:rPr>
          <w:rFonts w:asciiTheme="majorHAnsi" w:eastAsia="Calibri" w:hAnsiTheme="majorHAnsi" w:cs="Times New Roman"/>
          <w:sz w:val="20"/>
          <w:szCs w:val="20"/>
        </w:rPr>
        <w:t>nel periodo:</w:t>
      </w:r>
      <w:r w:rsidR="002D116D">
        <w:rPr>
          <w:rFonts w:asciiTheme="majorHAnsi" w:eastAsia="Calibri" w:hAnsiTheme="majorHAnsi" w:cs="Times New Roman"/>
          <w:sz w:val="20"/>
          <w:szCs w:val="20"/>
        </w:rPr>
        <w:t xml:space="preserve"> l’attivazione di misure di alta competenza specialistica attraverso l’avvio dell’Assistenza tecnica specialistica per supportare gli uffici regionali </w:t>
      </w:r>
      <w:r w:rsidR="000A5D0C">
        <w:rPr>
          <w:rFonts w:asciiTheme="majorHAnsi" w:eastAsia="Calibri" w:hAnsiTheme="majorHAnsi" w:cs="Times New Roman"/>
          <w:sz w:val="20"/>
          <w:szCs w:val="20"/>
        </w:rPr>
        <w:t xml:space="preserve">e la </w:t>
      </w:r>
      <w:proofErr w:type="gramStart"/>
      <w:r w:rsidR="000A5D0C">
        <w:rPr>
          <w:rFonts w:asciiTheme="majorHAnsi" w:eastAsia="Calibri" w:hAnsiTheme="majorHAnsi" w:cs="Times New Roman"/>
          <w:sz w:val="20"/>
          <w:szCs w:val="20"/>
        </w:rPr>
        <w:t>costante  attività</w:t>
      </w:r>
      <w:proofErr w:type="gramEnd"/>
      <w:r w:rsidR="000A5D0C">
        <w:rPr>
          <w:rFonts w:asciiTheme="majorHAnsi" w:eastAsia="Calibri" w:hAnsiTheme="majorHAnsi" w:cs="Times New Roman"/>
          <w:sz w:val="20"/>
          <w:szCs w:val="20"/>
        </w:rPr>
        <w:t xml:space="preserve"> di comunicazione e sensibilizzazione dei Beneficiari attraverso momenti e strumenti dedicati.</w:t>
      </w:r>
      <w:r w:rsidR="002D116D">
        <w:rPr>
          <w:rFonts w:asciiTheme="majorHAnsi" w:eastAsia="Calibri" w:hAnsiTheme="majorHAnsi" w:cs="Times New Roman"/>
          <w:sz w:val="20"/>
          <w:szCs w:val="20"/>
        </w:rPr>
        <w:t xml:space="preserve"> </w:t>
      </w:r>
    </w:p>
    <w:p w14:paraId="70240EE5" w14:textId="5FED26B2" w:rsidR="00EC51DD" w:rsidRDefault="007E740E" w:rsidP="006945B7">
      <w:pPr>
        <w:spacing w:before="120" w:after="0" w:line="240" w:lineRule="auto"/>
        <w:ind w:firstLine="454"/>
        <w:jc w:val="both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In termini complessivi</w:t>
      </w:r>
      <w:r w:rsidR="006945B7" w:rsidRPr="00855AAA">
        <w:rPr>
          <w:rFonts w:asciiTheme="majorHAnsi" w:eastAsia="Calibri" w:hAnsiTheme="majorHAnsi" w:cs="Times New Roman"/>
          <w:sz w:val="20"/>
          <w:szCs w:val="20"/>
        </w:rPr>
        <w:t>, al 3</w:t>
      </w:r>
      <w:r>
        <w:rPr>
          <w:rFonts w:asciiTheme="majorHAnsi" w:eastAsia="Calibri" w:hAnsiTheme="majorHAnsi" w:cs="Times New Roman"/>
          <w:sz w:val="20"/>
          <w:szCs w:val="20"/>
        </w:rPr>
        <w:t>1</w:t>
      </w:r>
      <w:r w:rsidR="006945B7" w:rsidRPr="00855AAA">
        <w:rPr>
          <w:rFonts w:asciiTheme="majorHAnsi" w:eastAsia="Calibri" w:hAnsiTheme="majorHAnsi" w:cs="Times New Roman"/>
          <w:sz w:val="20"/>
          <w:szCs w:val="20"/>
        </w:rPr>
        <w:t xml:space="preserve"> </w:t>
      </w:r>
      <w:proofErr w:type="gramStart"/>
      <w:r w:rsidR="00AC6D4C">
        <w:rPr>
          <w:rFonts w:asciiTheme="majorHAnsi" w:eastAsia="Calibri" w:hAnsiTheme="majorHAnsi" w:cs="Times New Roman"/>
          <w:sz w:val="20"/>
          <w:szCs w:val="20"/>
        </w:rPr>
        <w:t xml:space="preserve">dicembre </w:t>
      </w:r>
      <w:r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6945B7" w:rsidRPr="00855AAA">
        <w:rPr>
          <w:rFonts w:asciiTheme="majorHAnsi" w:eastAsia="Calibri" w:hAnsiTheme="majorHAnsi" w:cs="Times New Roman"/>
          <w:sz w:val="20"/>
          <w:szCs w:val="20"/>
        </w:rPr>
        <w:t>2017</w:t>
      </w:r>
      <w:proofErr w:type="gramEnd"/>
      <w:r w:rsidR="006945B7" w:rsidRPr="00855AAA">
        <w:rPr>
          <w:rFonts w:asciiTheme="majorHAnsi" w:eastAsia="Calibri" w:hAnsiTheme="majorHAnsi" w:cs="Times New Roman"/>
          <w:sz w:val="20"/>
          <w:szCs w:val="20"/>
        </w:rPr>
        <w:t xml:space="preserve"> risultano completati </w:t>
      </w:r>
      <w:r w:rsidR="00AC6D4C">
        <w:rPr>
          <w:rFonts w:asciiTheme="majorHAnsi" w:eastAsia="Calibri" w:hAnsiTheme="majorHAnsi" w:cs="Times New Roman"/>
          <w:sz w:val="20"/>
          <w:szCs w:val="20"/>
        </w:rPr>
        <w:t xml:space="preserve">circa </w:t>
      </w:r>
      <w:r w:rsidR="00484E57">
        <w:rPr>
          <w:rFonts w:asciiTheme="majorHAnsi" w:eastAsia="Calibri" w:hAnsiTheme="majorHAnsi" w:cs="Times New Roman"/>
          <w:sz w:val="20"/>
          <w:szCs w:val="20"/>
        </w:rPr>
        <w:t>l</w:t>
      </w:r>
      <w:r w:rsidR="00AC6D4C">
        <w:rPr>
          <w:rFonts w:asciiTheme="majorHAnsi" w:eastAsia="Calibri" w:hAnsiTheme="majorHAnsi" w:cs="Times New Roman"/>
          <w:sz w:val="20"/>
          <w:szCs w:val="20"/>
        </w:rPr>
        <w:t>’</w:t>
      </w:r>
      <w:r w:rsidR="00484E57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AC6D4C">
        <w:rPr>
          <w:rFonts w:asciiTheme="majorHAnsi" w:eastAsia="Calibri" w:hAnsiTheme="majorHAnsi" w:cs="Times New Roman"/>
          <w:sz w:val="20"/>
          <w:szCs w:val="20"/>
        </w:rPr>
        <w:t>82</w:t>
      </w:r>
      <w:r w:rsidR="00484E57">
        <w:rPr>
          <w:rFonts w:asciiTheme="majorHAnsi" w:eastAsia="Calibri" w:hAnsiTheme="majorHAnsi" w:cs="Times New Roman"/>
          <w:sz w:val="20"/>
          <w:szCs w:val="20"/>
        </w:rPr>
        <w:t xml:space="preserve">% </w:t>
      </w:r>
      <w:r w:rsidR="006945B7" w:rsidRPr="00855AAA">
        <w:rPr>
          <w:rFonts w:asciiTheme="majorHAnsi" w:eastAsia="Calibri" w:hAnsiTheme="majorHAnsi" w:cs="Times New Roman"/>
          <w:sz w:val="20"/>
          <w:szCs w:val="20"/>
        </w:rPr>
        <w:t>degli interventi totali previsti</w:t>
      </w:r>
      <w:r w:rsidR="00561C5E">
        <w:rPr>
          <w:rFonts w:asciiTheme="majorHAnsi" w:eastAsia="Calibri" w:hAnsiTheme="majorHAnsi" w:cs="Times New Roman"/>
          <w:sz w:val="20"/>
          <w:szCs w:val="20"/>
        </w:rPr>
        <w:t xml:space="preserve"> nel PRA</w:t>
      </w:r>
      <w:r w:rsidR="006945B7" w:rsidRPr="00855AAA">
        <w:rPr>
          <w:rFonts w:asciiTheme="majorHAnsi" w:eastAsia="Calibri" w:hAnsiTheme="majorHAnsi" w:cs="Times New Roman"/>
          <w:sz w:val="20"/>
          <w:szCs w:val="20"/>
        </w:rPr>
        <w:t xml:space="preserve">. </w:t>
      </w:r>
      <w:r w:rsidR="00561C5E">
        <w:rPr>
          <w:rFonts w:asciiTheme="majorHAnsi" w:eastAsia="Calibri" w:hAnsiTheme="majorHAnsi" w:cs="Times New Roman"/>
          <w:sz w:val="20"/>
          <w:szCs w:val="20"/>
        </w:rPr>
        <w:t>G</w:t>
      </w:r>
      <w:r w:rsidR="006945B7" w:rsidRPr="00855AAA">
        <w:rPr>
          <w:rFonts w:asciiTheme="majorHAnsi" w:eastAsia="Calibri" w:hAnsiTheme="majorHAnsi" w:cs="Times New Roman"/>
          <w:sz w:val="20"/>
          <w:szCs w:val="20"/>
        </w:rPr>
        <w:t>li interventi non ancora completati</w:t>
      </w:r>
      <w:r w:rsidR="00561C5E">
        <w:rPr>
          <w:rFonts w:asciiTheme="majorHAnsi" w:eastAsia="Calibri" w:hAnsiTheme="majorHAnsi" w:cs="Times New Roman"/>
          <w:sz w:val="20"/>
          <w:szCs w:val="20"/>
        </w:rPr>
        <w:t xml:space="preserve"> risultano </w:t>
      </w:r>
      <w:r w:rsidR="00484E57">
        <w:rPr>
          <w:rFonts w:asciiTheme="majorHAnsi" w:eastAsia="Calibri" w:hAnsiTheme="majorHAnsi" w:cs="Times New Roman"/>
          <w:sz w:val="20"/>
          <w:szCs w:val="20"/>
        </w:rPr>
        <w:t xml:space="preserve">comunque </w:t>
      </w:r>
      <w:r w:rsidR="00561C5E">
        <w:rPr>
          <w:rFonts w:asciiTheme="majorHAnsi" w:eastAsia="Calibri" w:hAnsiTheme="majorHAnsi" w:cs="Times New Roman"/>
          <w:sz w:val="20"/>
          <w:szCs w:val="20"/>
        </w:rPr>
        <w:t>avviati</w:t>
      </w:r>
      <w:r w:rsidR="00AC6D4C">
        <w:rPr>
          <w:rFonts w:asciiTheme="majorHAnsi" w:eastAsia="Calibri" w:hAnsiTheme="majorHAnsi" w:cs="Times New Roman"/>
          <w:sz w:val="20"/>
          <w:szCs w:val="20"/>
        </w:rPr>
        <w:t>.</w:t>
      </w:r>
      <w:r w:rsidR="00EC51DD">
        <w:rPr>
          <w:rFonts w:asciiTheme="majorHAnsi" w:eastAsia="Calibri" w:hAnsiTheme="majorHAnsi" w:cs="Times New Roman"/>
          <w:sz w:val="20"/>
          <w:szCs w:val="20"/>
        </w:rPr>
        <w:t xml:space="preserve"> </w:t>
      </w:r>
    </w:p>
    <w:tbl>
      <w:tblPr>
        <w:tblW w:w="23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0"/>
        <w:gridCol w:w="1600"/>
        <w:gridCol w:w="2854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AC6D4C" w:rsidRPr="00AC6D4C" w14:paraId="55CF7B42" w14:textId="77777777" w:rsidTr="00AC6D4C">
        <w:trPr>
          <w:trHeight w:val="285"/>
        </w:trPr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936E" w14:textId="77777777" w:rsidR="00AC6D4C" w:rsidRPr="00AC6D4C" w:rsidRDefault="00AC6D4C" w:rsidP="00AC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9DE25" w14:textId="77777777" w:rsidR="00AC6D4C" w:rsidRPr="00AC6D4C" w:rsidRDefault="00AC6D4C" w:rsidP="00AC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FC97" w14:textId="77777777" w:rsidR="00AC6D4C" w:rsidRPr="00AC6D4C" w:rsidRDefault="00AC6D4C" w:rsidP="00AC6D4C">
            <w:pPr>
              <w:spacing w:after="0" w:line="240" w:lineRule="auto"/>
              <w:jc w:val="right"/>
              <w:rPr>
                <w:rFonts w:ascii="Verdana" w:eastAsia="Times New Roman" w:hAnsi="Verdana" w:cs="Calibri"/>
              </w:rPr>
            </w:pPr>
            <w:r w:rsidRPr="00AC6D4C">
              <w:rPr>
                <w:rFonts w:ascii="Verdana" w:eastAsia="Times New Roman" w:hAnsi="Verdana" w:cs="Calibri"/>
              </w:rPr>
              <w:t>% sul totale degli interventi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342E" w14:textId="77777777" w:rsidR="00AC6D4C" w:rsidRPr="00AC6D4C" w:rsidRDefault="00AC6D4C" w:rsidP="00AC6D4C">
            <w:pPr>
              <w:spacing w:after="0" w:line="240" w:lineRule="auto"/>
              <w:rPr>
                <w:rFonts w:ascii="Verdana" w:eastAsia="Times New Roman" w:hAnsi="Verdana" w:cs="Calibri"/>
              </w:rPr>
            </w:pPr>
            <w:r w:rsidRPr="00AC6D4C">
              <w:rPr>
                <w:rFonts w:ascii="Verdana" w:eastAsia="Times New Roman" w:hAnsi="Verdana" w:cs="Calibri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7DFC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0C02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61%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6BF0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68%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AD68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45%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32BF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45%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7333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73%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2CA5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57%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637F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41%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2E9C3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91%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A386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66%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422AC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34%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2F5E7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91%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7B74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82%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F77E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18%</w:t>
            </w:r>
          </w:p>
        </w:tc>
      </w:tr>
      <w:tr w:rsidR="00AC6D4C" w:rsidRPr="00AC6D4C" w14:paraId="18B65D4F" w14:textId="77777777" w:rsidTr="00AC6D4C">
        <w:trPr>
          <w:trHeight w:val="285"/>
        </w:trPr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6EB1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3C5E" w14:textId="77777777" w:rsidR="00AC6D4C" w:rsidRPr="00AC6D4C" w:rsidRDefault="00AC6D4C" w:rsidP="00AC6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7A13E" w14:textId="77777777" w:rsidR="00AC6D4C" w:rsidRPr="00AC6D4C" w:rsidRDefault="00AC6D4C" w:rsidP="00AC6D4C">
            <w:pPr>
              <w:spacing w:after="0" w:line="240" w:lineRule="auto"/>
              <w:jc w:val="right"/>
              <w:rPr>
                <w:rFonts w:ascii="Verdana" w:eastAsia="Times New Roman" w:hAnsi="Verdana" w:cs="Calibri"/>
              </w:rPr>
            </w:pPr>
            <w:r w:rsidRPr="00AC6D4C">
              <w:rPr>
                <w:rFonts w:ascii="Verdana" w:eastAsia="Times New Roman" w:hAnsi="Verdana" w:cs="Calibri"/>
              </w:rPr>
              <w:t>% sugli interventi scaduti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78C1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</w:rPr>
            </w:pPr>
            <w:r w:rsidRPr="00AC6D4C">
              <w:rPr>
                <w:rFonts w:ascii="Verdana" w:eastAsia="Times New Roman" w:hAnsi="Verdana" w:cs="Calibri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448E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B728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3C85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7CA1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67%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FCCF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67%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869D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00C9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78%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115D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56%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3D74E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9FDA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73%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6A33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38%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317F9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5F15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90%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883D" w14:textId="77777777" w:rsidR="00AC6D4C" w:rsidRPr="00AC6D4C" w:rsidRDefault="00AC6D4C" w:rsidP="00AC6D4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AC6D4C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20%</w:t>
            </w:r>
          </w:p>
        </w:tc>
      </w:tr>
    </w:tbl>
    <w:p w14:paraId="4C0EC947" w14:textId="77777777" w:rsidR="000E581C" w:rsidRDefault="000E581C" w:rsidP="00621D2D">
      <w:pPr>
        <w:spacing w:after="120" w:line="240" w:lineRule="auto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</w:p>
    <w:p w14:paraId="051C527B" w14:textId="0C82AEC2" w:rsidR="00621D2D" w:rsidRPr="002C5FD0" w:rsidRDefault="00621D2D" w:rsidP="00621D2D">
      <w:pPr>
        <w:spacing w:after="120" w:line="240" w:lineRule="auto"/>
        <w:jc w:val="both"/>
        <w:outlineLvl w:val="0"/>
        <w:rPr>
          <w:rFonts w:asciiTheme="majorHAnsi" w:eastAsia="Calibri" w:hAnsiTheme="majorHAnsi" w:cs="Times New Roman"/>
          <w:b/>
          <w:sz w:val="24"/>
          <w:szCs w:val="24"/>
          <w:u w:val="single"/>
        </w:rPr>
      </w:pPr>
      <w:r w:rsidRPr="002C5FD0">
        <w:rPr>
          <w:rFonts w:asciiTheme="majorHAnsi" w:eastAsia="Calibri" w:hAnsiTheme="majorHAnsi" w:cs="Times New Roman"/>
          <w:b/>
          <w:sz w:val="24"/>
          <w:szCs w:val="24"/>
          <w:u w:val="single"/>
        </w:rPr>
        <w:t>Sezione 2 - i risultati conseguiti dagli interventi</w:t>
      </w:r>
    </w:p>
    <w:p w14:paraId="46EEE3FC" w14:textId="4276B7DA" w:rsidR="00464D50" w:rsidRDefault="00A968BE" w:rsidP="00464D50">
      <w:pPr>
        <w:pStyle w:val="Paragrafoelenco"/>
        <w:spacing w:before="120" w:after="120" w:line="240" w:lineRule="auto"/>
        <w:ind w:left="0" w:firstLine="454"/>
        <w:contextualSpacing w:val="0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Risulta complessivamente raggiunt</w:t>
      </w:r>
      <w:r w:rsidR="000A5D0C">
        <w:rPr>
          <w:rFonts w:asciiTheme="majorHAnsi" w:eastAsia="Calibri" w:hAnsiTheme="majorHAnsi" w:cs="Times New Roman"/>
          <w:sz w:val="20"/>
          <w:szCs w:val="20"/>
        </w:rPr>
        <w:t xml:space="preserve">o il 60% </w:t>
      </w:r>
      <w:r>
        <w:rPr>
          <w:rFonts w:asciiTheme="majorHAnsi" w:eastAsia="Calibri" w:hAnsiTheme="majorHAnsi" w:cs="Times New Roman"/>
          <w:sz w:val="20"/>
          <w:szCs w:val="20"/>
        </w:rPr>
        <w:t xml:space="preserve">dei target </w:t>
      </w:r>
      <w:r w:rsidR="00464D50">
        <w:rPr>
          <w:rFonts w:asciiTheme="majorHAnsi" w:eastAsia="Calibri" w:hAnsiTheme="majorHAnsi" w:cs="Times New Roman"/>
          <w:sz w:val="20"/>
          <w:szCs w:val="20"/>
        </w:rPr>
        <w:t>fissati nel PRA</w:t>
      </w:r>
      <w:r>
        <w:rPr>
          <w:rFonts w:asciiTheme="majorHAnsi" w:eastAsia="Calibri" w:hAnsiTheme="majorHAnsi" w:cs="Times New Roman"/>
          <w:sz w:val="20"/>
          <w:szCs w:val="20"/>
        </w:rPr>
        <w:t>.</w:t>
      </w:r>
      <w:r w:rsidR="00464D50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5D012F">
        <w:rPr>
          <w:rFonts w:asciiTheme="majorHAnsi" w:eastAsia="Calibri" w:hAnsiTheme="majorHAnsi" w:cs="Times New Roman"/>
          <w:sz w:val="20"/>
          <w:szCs w:val="20"/>
        </w:rPr>
        <w:t>Per informazioni di dettaglio, si rinvia a quanto indicato nella apposita sezione “target” delle schede di monitoraggio.</w:t>
      </w:r>
    </w:p>
    <w:p w14:paraId="694DE1C4" w14:textId="7D398E00" w:rsidR="00A51962" w:rsidRPr="00855AAA" w:rsidRDefault="00621D2D" w:rsidP="00621D2D">
      <w:pPr>
        <w:spacing w:after="120" w:line="240" w:lineRule="auto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 w:rsidRPr="002C5FD0">
        <w:rPr>
          <w:rFonts w:asciiTheme="majorHAnsi" w:eastAsia="Calibri" w:hAnsiTheme="majorHAnsi" w:cs="Times New Roman"/>
          <w:b/>
          <w:sz w:val="24"/>
          <w:szCs w:val="24"/>
          <w:u w:val="single"/>
        </w:rPr>
        <w:t>Sezione 3 - i principali problemi incontrati dagli interventi</w:t>
      </w:r>
    </w:p>
    <w:p w14:paraId="20E8038F" w14:textId="7143149A" w:rsidR="00D16916" w:rsidRDefault="00D16916" w:rsidP="002545AD">
      <w:pPr>
        <w:spacing w:before="120" w:after="120" w:line="240" w:lineRule="auto"/>
        <w:ind w:firstLine="454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L</w:t>
      </w:r>
      <w:r w:rsidR="00042497">
        <w:rPr>
          <w:rFonts w:asciiTheme="majorHAnsi" w:eastAsia="Calibri" w:hAnsiTheme="majorHAnsi" w:cs="Times New Roman"/>
          <w:sz w:val="20"/>
          <w:szCs w:val="20"/>
        </w:rPr>
        <w:t xml:space="preserve">’applicativo di monitoraggio dei Fondi </w:t>
      </w:r>
      <w:r>
        <w:rPr>
          <w:rFonts w:asciiTheme="majorHAnsi" w:eastAsia="Calibri" w:hAnsiTheme="majorHAnsi" w:cs="Times New Roman"/>
          <w:sz w:val="20"/>
          <w:szCs w:val="20"/>
        </w:rPr>
        <w:t xml:space="preserve">è attivo ed in corso di utilizzazione. Tuttavia, si registra un rallentamento nell’implementazione delle funzionalità più avanzate previste nel PRA, segnatamente con riguardo all’interoperabilità tra i sistemi, </w:t>
      </w:r>
      <w:r w:rsidR="001F1390">
        <w:rPr>
          <w:rFonts w:asciiTheme="majorHAnsi" w:eastAsia="Calibri" w:hAnsiTheme="majorHAnsi" w:cs="Times New Roman"/>
          <w:sz w:val="20"/>
          <w:szCs w:val="20"/>
        </w:rPr>
        <w:t>alla gestione delle procedure di selezione degli interventi</w:t>
      </w:r>
      <w:r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1F1390">
        <w:rPr>
          <w:rFonts w:asciiTheme="majorHAnsi" w:eastAsia="Calibri" w:hAnsiTheme="majorHAnsi" w:cs="Times New Roman"/>
          <w:sz w:val="20"/>
          <w:szCs w:val="20"/>
        </w:rPr>
        <w:t>e alla trasmissione documentale, nonché</w:t>
      </w:r>
      <w:r>
        <w:rPr>
          <w:rFonts w:asciiTheme="majorHAnsi" w:eastAsia="Calibri" w:hAnsiTheme="majorHAnsi" w:cs="Times New Roman"/>
          <w:sz w:val="20"/>
          <w:szCs w:val="20"/>
        </w:rPr>
        <w:t xml:space="preserve"> al servizio di community FESR.</w:t>
      </w:r>
    </w:p>
    <w:p w14:paraId="1F08D1A0" w14:textId="475BA699" w:rsidR="00D16916" w:rsidRDefault="00D16916" w:rsidP="002545AD">
      <w:pPr>
        <w:spacing w:before="120" w:after="120" w:line="240" w:lineRule="auto"/>
        <w:ind w:firstLine="454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 xml:space="preserve">Si registra, inoltre, un rallentamento </w:t>
      </w:r>
      <w:r w:rsidR="001F1390">
        <w:rPr>
          <w:rFonts w:asciiTheme="majorHAnsi" w:eastAsia="Calibri" w:hAnsiTheme="majorHAnsi" w:cs="Times New Roman"/>
          <w:sz w:val="20"/>
          <w:szCs w:val="20"/>
        </w:rPr>
        <w:t xml:space="preserve">in ordine alla completa implementazione della metodologia di </w:t>
      </w:r>
      <w:r>
        <w:rPr>
          <w:rFonts w:asciiTheme="majorHAnsi" w:eastAsia="Calibri" w:hAnsiTheme="majorHAnsi" w:cs="Times New Roman"/>
          <w:sz w:val="20"/>
          <w:szCs w:val="20"/>
        </w:rPr>
        <w:t>controllo di gestione</w:t>
      </w:r>
      <w:r w:rsidR="001F1390">
        <w:rPr>
          <w:rFonts w:asciiTheme="majorHAnsi" w:eastAsia="Calibri" w:hAnsiTheme="majorHAnsi" w:cs="Times New Roman"/>
          <w:sz w:val="20"/>
          <w:szCs w:val="20"/>
        </w:rPr>
        <w:t xml:space="preserve"> esteso a tutta l’amministrazione regionale.</w:t>
      </w:r>
    </w:p>
    <w:p w14:paraId="0023869B" w14:textId="55FC39C6" w:rsidR="00356D40" w:rsidRPr="0013334B" w:rsidRDefault="0013334B" w:rsidP="006268DF">
      <w:pPr>
        <w:spacing w:before="120" w:after="120" w:line="240" w:lineRule="auto"/>
        <w:ind w:firstLine="454"/>
        <w:jc w:val="both"/>
        <w:outlineLvl w:val="0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Per quanto attiene, infine a</w:t>
      </w:r>
      <w:r w:rsidRPr="0013334B">
        <w:rPr>
          <w:rFonts w:asciiTheme="majorHAnsi" w:eastAsia="Calibri" w:hAnsiTheme="majorHAnsi" w:cs="Times New Roman"/>
          <w:sz w:val="20"/>
          <w:szCs w:val="20"/>
        </w:rPr>
        <w:t>ll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 xml:space="preserve">'intervento "Pianificazione </w:t>
      </w:r>
      <w:r w:rsidRPr="0013334B">
        <w:rPr>
          <w:rFonts w:asciiTheme="majorHAnsi" w:eastAsia="Calibri" w:hAnsiTheme="majorHAnsi" w:cs="Times New Roman"/>
          <w:sz w:val="20"/>
          <w:szCs w:val="20"/>
        </w:rPr>
        <w:t xml:space="preserve">delle Risorse", è emersa l’esigenza di potenziarne la portata, trasformandolo </w:t>
      </w:r>
      <w:r w:rsidR="006268DF">
        <w:rPr>
          <w:rFonts w:asciiTheme="majorHAnsi" w:eastAsia="Calibri" w:hAnsiTheme="majorHAnsi" w:cs="Times New Roman"/>
          <w:sz w:val="20"/>
          <w:szCs w:val="20"/>
        </w:rPr>
        <w:t>in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 xml:space="preserve"> strumento di </w:t>
      </w:r>
      <w:r w:rsidR="006268DF">
        <w:rPr>
          <w:rFonts w:asciiTheme="majorHAnsi" w:eastAsia="Calibri" w:hAnsiTheme="majorHAnsi" w:cs="Times New Roman"/>
          <w:sz w:val="20"/>
          <w:szCs w:val="20"/>
        </w:rPr>
        <w:t xml:space="preserve">supporto operativo al 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>governo de</w:t>
      </w:r>
      <w:r w:rsidRPr="0013334B">
        <w:rPr>
          <w:rFonts w:asciiTheme="majorHAnsi" w:eastAsia="Calibri" w:hAnsiTheme="majorHAnsi" w:cs="Times New Roman"/>
          <w:sz w:val="20"/>
          <w:szCs w:val="20"/>
        </w:rPr>
        <w:t xml:space="preserve">i Programmi, in modo da consentire </w:t>
      </w:r>
      <w:r w:rsidR="006268DF">
        <w:rPr>
          <w:rFonts w:asciiTheme="majorHAnsi" w:eastAsia="Calibri" w:hAnsiTheme="majorHAnsi" w:cs="Times New Roman"/>
          <w:sz w:val="20"/>
          <w:szCs w:val="20"/>
        </w:rPr>
        <w:t>–</w:t>
      </w:r>
      <w:r w:rsidRPr="0013334B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>anche grazie a sessioni di autovalutazione istituzionalizzate</w:t>
      </w:r>
      <w:r w:rsidRPr="0013334B">
        <w:rPr>
          <w:rFonts w:asciiTheme="majorHAnsi" w:eastAsia="Calibri" w:hAnsiTheme="majorHAnsi" w:cs="Times New Roman"/>
          <w:sz w:val="20"/>
          <w:szCs w:val="20"/>
        </w:rPr>
        <w:t xml:space="preserve"> –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Pr="0013334B">
        <w:rPr>
          <w:rFonts w:asciiTheme="majorHAnsi" w:eastAsia="Calibri" w:hAnsiTheme="majorHAnsi" w:cs="Times New Roman"/>
          <w:sz w:val="20"/>
          <w:szCs w:val="20"/>
        </w:rPr>
        <w:t>una più precisa definizione del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 xml:space="preserve">la road map di attuazione </w:t>
      </w:r>
      <w:r w:rsidR="006268DF">
        <w:rPr>
          <w:rFonts w:asciiTheme="majorHAnsi" w:eastAsia="Calibri" w:hAnsiTheme="majorHAnsi" w:cs="Times New Roman"/>
          <w:sz w:val="20"/>
          <w:szCs w:val="20"/>
        </w:rPr>
        <w:t xml:space="preserve">e una maggiore 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 xml:space="preserve">responsabilizzazione sui target </w:t>
      </w:r>
      <w:r w:rsidR="00F00E98">
        <w:rPr>
          <w:rFonts w:asciiTheme="majorHAnsi" w:eastAsia="Calibri" w:hAnsiTheme="majorHAnsi" w:cs="Times New Roman"/>
          <w:sz w:val="20"/>
          <w:szCs w:val="20"/>
        </w:rPr>
        <w:t>di realizzazione</w:t>
      </w:r>
      <w:r w:rsidR="00F00E98" w:rsidRPr="0013334B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F00E98">
        <w:rPr>
          <w:rFonts w:asciiTheme="majorHAnsi" w:eastAsia="Calibri" w:hAnsiTheme="majorHAnsi" w:cs="Times New Roman"/>
          <w:sz w:val="20"/>
          <w:szCs w:val="20"/>
        </w:rPr>
        <w:t xml:space="preserve">e </w:t>
      </w:r>
      <w:r w:rsidR="009A313F" w:rsidRPr="0013334B">
        <w:rPr>
          <w:rFonts w:asciiTheme="majorHAnsi" w:eastAsia="Calibri" w:hAnsiTheme="majorHAnsi" w:cs="Times New Roman"/>
          <w:sz w:val="20"/>
          <w:szCs w:val="20"/>
        </w:rPr>
        <w:t>di rendicontazione.</w:t>
      </w:r>
    </w:p>
    <w:sectPr w:rsidR="00356D40" w:rsidRPr="0013334B" w:rsidSect="00284556">
      <w:footerReference w:type="even" r:id="rId8"/>
      <w:footerReference w:type="default" r:id="rId9"/>
      <w:pgSz w:w="11906" w:h="16838"/>
      <w:pgMar w:top="1823" w:right="1134" w:bottom="162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88EA6" w14:textId="77777777" w:rsidR="009C590A" w:rsidRDefault="009C590A" w:rsidP="00375D83">
      <w:pPr>
        <w:spacing w:after="0" w:line="240" w:lineRule="auto"/>
      </w:pPr>
      <w:r>
        <w:separator/>
      </w:r>
    </w:p>
  </w:endnote>
  <w:endnote w:type="continuationSeparator" w:id="0">
    <w:p w14:paraId="4360715D" w14:textId="77777777" w:rsidR="009C590A" w:rsidRDefault="009C590A" w:rsidP="0037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B75A4" w14:textId="77777777" w:rsidR="00375D83" w:rsidRDefault="00037B14" w:rsidP="00E674FD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75D8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C0D06FF" w14:textId="77777777" w:rsidR="00375D83" w:rsidRDefault="00375D83" w:rsidP="00375D8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D6A06" w14:textId="326A524B" w:rsidR="00375D83" w:rsidRDefault="00037B14" w:rsidP="00E674FD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75D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86CDD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CA93E33" w14:textId="77777777" w:rsidR="00375D83" w:rsidRDefault="00375D83" w:rsidP="00375D8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CD19D" w14:textId="77777777" w:rsidR="009C590A" w:rsidRDefault="009C590A" w:rsidP="00375D83">
      <w:pPr>
        <w:spacing w:after="0" w:line="240" w:lineRule="auto"/>
      </w:pPr>
      <w:r>
        <w:separator/>
      </w:r>
    </w:p>
  </w:footnote>
  <w:footnote w:type="continuationSeparator" w:id="0">
    <w:p w14:paraId="0383508F" w14:textId="77777777" w:rsidR="009C590A" w:rsidRDefault="009C590A" w:rsidP="00375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14F48"/>
    <w:multiLevelType w:val="hybridMultilevel"/>
    <w:tmpl w:val="7820DF2E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21EB60C2"/>
    <w:multiLevelType w:val="hybridMultilevel"/>
    <w:tmpl w:val="86389400"/>
    <w:lvl w:ilvl="0" w:tplc="38463A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0475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5A0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A3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CCF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CC7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A2A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5E1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9427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8167419"/>
    <w:multiLevelType w:val="hybridMultilevel"/>
    <w:tmpl w:val="89DE7FB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523C214B"/>
    <w:multiLevelType w:val="hybridMultilevel"/>
    <w:tmpl w:val="061EE6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3C4472"/>
    <w:multiLevelType w:val="hybridMultilevel"/>
    <w:tmpl w:val="7F92AA30"/>
    <w:lvl w:ilvl="0" w:tplc="E80E27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196024"/>
    <w:multiLevelType w:val="hybridMultilevel"/>
    <w:tmpl w:val="02FCB8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F361312"/>
    <w:multiLevelType w:val="hybridMultilevel"/>
    <w:tmpl w:val="7F14AA18"/>
    <w:lvl w:ilvl="0" w:tplc="AD2E5C9E">
      <w:start w:val="10"/>
      <w:numFmt w:val="bullet"/>
      <w:lvlText w:val=""/>
      <w:lvlJc w:val="left"/>
      <w:pPr>
        <w:ind w:left="1060" w:hanging="70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FA4"/>
    <w:rsid w:val="000226F2"/>
    <w:rsid w:val="00037B14"/>
    <w:rsid w:val="00042497"/>
    <w:rsid w:val="000519D2"/>
    <w:rsid w:val="000743FF"/>
    <w:rsid w:val="000910C3"/>
    <w:rsid w:val="000A5D0C"/>
    <w:rsid w:val="000B3F7E"/>
    <w:rsid w:val="000D2247"/>
    <w:rsid w:val="000E581C"/>
    <w:rsid w:val="000F0080"/>
    <w:rsid w:val="0010049B"/>
    <w:rsid w:val="00114A70"/>
    <w:rsid w:val="0012006E"/>
    <w:rsid w:val="001209B5"/>
    <w:rsid w:val="00132E21"/>
    <w:rsid w:val="0013334B"/>
    <w:rsid w:val="00134DED"/>
    <w:rsid w:val="00144A5C"/>
    <w:rsid w:val="001518E6"/>
    <w:rsid w:val="00176F08"/>
    <w:rsid w:val="001814E0"/>
    <w:rsid w:val="00185DCC"/>
    <w:rsid w:val="001B48A7"/>
    <w:rsid w:val="001B7AF6"/>
    <w:rsid w:val="001D3B1F"/>
    <w:rsid w:val="001D620B"/>
    <w:rsid w:val="001F1390"/>
    <w:rsid w:val="00200CF2"/>
    <w:rsid w:val="002372E0"/>
    <w:rsid w:val="002545AD"/>
    <w:rsid w:val="00256D10"/>
    <w:rsid w:val="002666A3"/>
    <w:rsid w:val="00276289"/>
    <w:rsid w:val="00276CD3"/>
    <w:rsid w:val="00284556"/>
    <w:rsid w:val="00286CDD"/>
    <w:rsid w:val="002A3218"/>
    <w:rsid w:val="002C5FD0"/>
    <w:rsid w:val="002D116D"/>
    <w:rsid w:val="002D163E"/>
    <w:rsid w:val="002D2A6E"/>
    <w:rsid w:val="00305DB1"/>
    <w:rsid w:val="003126B8"/>
    <w:rsid w:val="0031689E"/>
    <w:rsid w:val="00320647"/>
    <w:rsid w:val="003279C5"/>
    <w:rsid w:val="00330155"/>
    <w:rsid w:val="00336254"/>
    <w:rsid w:val="00356D40"/>
    <w:rsid w:val="00367E39"/>
    <w:rsid w:val="00375D83"/>
    <w:rsid w:val="00376E2E"/>
    <w:rsid w:val="0037718A"/>
    <w:rsid w:val="00381F7B"/>
    <w:rsid w:val="00382E7C"/>
    <w:rsid w:val="003839FC"/>
    <w:rsid w:val="00391C04"/>
    <w:rsid w:val="00392F1F"/>
    <w:rsid w:val="0039736F"/>
    <w:rsid w:val="003A088C"/>
    <w:rsid w:val="003A5E04"/>
    <w:rsid w:val="003B57BA"/>
    <w:rsid w:val="003C092A"/>
    <w:rsid w:val="003D30DA"/>
    <w:rsid w:val="003F3490"/>
    <w:rsid w:val="003F6B2A"/>
    <w:rsid w:val="00417699"/>
    <w:rsid w:val="00447629"/>
    <w:rsid w:val="004543CE"/>
    <w:rsid w:val="00457281"/>
    <w:rsid w:val="00462ECA"/>
    <w:rsid w:val="00464288"/>
    <w:rsid w:val="00464D50"/>
    <w:rsid w:val="004840EF"/>
    <w:rsid w:val="00484E57"/>
    <w:rsid w:val="004A26AC"/>
    <w:rsid w:val="004B4BED"/>
    <w:rsid w:val="004C4FAE"/>
    <w:rsid w:val="004C5606"/>
    <w:rsid w:val="004E5145"/>
    <w:rsid w:val="004F491D"/>
    <w:rsid w:val="005120CA"/>
    <w:rsid w:val="00517363"/>
    <w:rsid w:val="00541A05"/>
    <w:rsid w:val="00542803"/>
    <w:rsid w:val="005540BB"/>
    <w:rsid w:val="00561C5E"/>
    <w:rsid w:val="005726A5"/>
    <w:rsid w:val="005A5C7A"/>
    <w:rsid w:val="005C7F25"/>
    <w:rsid w:val="005D012F"/>
    <w:rsid w:val="005E0EC2"/>
    <w:rsid w:val="005F0F3B"/>
    <w:rsid w:val="0060148D"/>
    <w:rsid w:val="006114EA"/>
    <w:rsid w:val="00620DD5"/>
    <w:rsid w:val="00621AA4"/>
    <w:rsid w:val="00621D2D"/>
    <w:rsid w:val="006268DF"/>
    <w:rsid w:val="00666D35"/>
    <w:rsid w:val="00667388"/>
    <w:rsid w:val="006702E8"/>
    <w:rsid w:val="00672751"/>
    <w:rsid w:val="00673320"/>
    <w:rsid w:val="00673355"/>
    <w:rsid w:val="006945B7"/>
    <w:rsid w:val="006976C1"/>
    <w:rsid w:val="006A0A1F"/>
    <w:rsid w:val="006A4E38"/>
    <w:rsid w:val="006C1420"/>
    <w:rsid w:val="006C21BE"/>
    <w:rsid w:val="006C3B0E"/>
    <w:rsid w:val="006C4BAB"/>
    <w:rsid w:val="006C4DB2"/>
    <w:rsid w:val="006D522A"/>
    <w:rsid w:val="006F237D"/>
    <w:rsid w:val="006F304B"/>
    <w:rsid w:val="00704421"/>
    <w:rsid w:val="00704BAB"/>
    <w:rsid w:val="00710FF8"/>
    <w:rsid w:val="0071442D"/>
    <w:rsid w:val="00730884"/>
    <w:rsid w:val="00731967"/>
    <w:rsid w:val="0076710A"/>
    <w:rsid w:val="00776D77"/>
    <w:rsid w:val="00783463"/>
    <w:rsid w:val="0078647B"/>
    <w:rsid w:val="007A1789"/>
    <w:rsid w:val="007B09A6"/>
    <w:rsid w:val="007C048E"/>
    <w:rsid w:val="007C4033"/>
    <w:rsid w:val="007D0B77"/>
    <w:rsid w:val="007D523D"/>
    <w:rsid w:val="007E17B1"/>
    <w:rsid w:val="007E6292"/>
    <w:rsid w:val="007E740E"/>
    <w:rsid w:val="007F57D5"/>
    <w:rsid w:val="007F664C"/>
    <w:rsid w:val="007F7D6C"/>
    <w:rsid w:val="008229B6"/>
    <w:rsid w:val="008243B9"/>
    <w:rsid w:val="0082648C"/>
    <w:rsid w:val="00843826"/>
    <w:rsid w:val="00850EEB"/>
    <w:rsid w:val="00855AAA"/>
    <w:rsid w:val="00863725"/>
    <w:rsid w:val="00882676"/>
    <w:rsid w:val="00892FB3"/>
    <w:rsid w:val="008B35EC"/>
    <w:rsid w:val="008B7202"/>
    <w:rsid w:val="008C2C1E"/>
    <w:rsid w:val="008E108F"/>
    <w:rsid w:val="008E2E5A"/>
    <w:rsid w:val="008E410B"/>
    <w:rsid w:val="008E62B9"/>
    <w:rsid w:val="008F0C49"/>
    <w:rsid w:val="0090149F"/>
    <w:rsid w:val="00902A60"/>
    <w:rsid w:val="00927FE6"/>
    <w:rsid w:val="009457A2"/>
    <w:rsid w:val="009655B5"/>
    <w:rsid w:val="009A1E93"/>
    <w:rsid w:val="009A228A"/>
    <w:rsid w:val="009A313F"/>
    <w:rsid w:val="009A4EDE"/>
    <w:rsid w:val="009C2242"/>
    <w:rsid w:val="009C4199"/>
    <w:rsid w:val="009C590A"/>
    <w:rsid w:val="009D2218"/>
    <w:rsid w:val="009D3FF5"/>
    <w:rsid w:val="009D74DC"/>
    <w:rsid w:val="009E3948"/>
    <w:rsid w:val="009F166C"/>
    <w:rsid w:val="00A03883"/>
    <w:rsid w:val="00A2019D"/>
    <w:rsid w:val="00A51962"/>
    <w:rsid w:val="00A52009"/>
    <w:rsid w:val="00A62C02"/>
    <w:rsid w:val="00A6735B"/>
    <w:rsid w:val="00A70909"/>
    <w:rsid w:val="00A817DD"/>
    <w:rsid w:val="00A92FA9"/>
    <w:rsid w:val="00A9372B"/>
    <w:rsid w:val="00A968BE"/>
    <w:rsid w:val="00AA3BFD"/>
    <w:rsid w:val="00AB31F3"/>
    <w:rsid w:val="00AC612E"/>
    <w:rsid w:val="00AC6D4C"/>
    <w:rsid w:val="00AF786A"/>
    <w:rsid w:val="00B12B24"/>
    <w:rsid w:val="00B22831"/>
    <w:rsid w:val="00B22DB8"/>
    <w:rsid w:val="00B47E26"/>
    <w:rsid w:val="00B56F9A"/>
    <w:rsid w:val="00B57D7B"/>
    <w:rsid w:val="00B71E39"/>
    <w:rsid w:val="00B72396"/>
    <w:rsid w:val="00B723D5"/>
    <w:rsid w:val="00BA1DE3"/>
    <w:rsid w:val="00BA46D2"/>
    <w:rsid w:val="00BC4FBC"/>
    <w:rsid w:val="00BD2C33"/>
    <w:rsid w:val="00BE779B"/>
    <w:rsid w:val="00C030D9"/>
    <w:rsid w:val="00C047C6"/>
    <w:rsid w:val="00C21A18"/>
    <w:rsid w:val="00C22240"/>
    <w:rsid w:val="00C30621"/>
    <w:rsid w:val="00C33E5C"/>
    <w:rsid w:val="00C51CEC"/>
    <w:rsid w:val="00C54251"/>
    <w:rsid w:val="00C63A10"/>
    <w:rsid w:val="00C739B6"/>
    <w:rsid w:val="00C843E5"/>
    <w:rsid w:val="00CA008A"/>
    <w:rsid w:val="00CC4147"/>
    <w:rsid w:val="00D13A65"/>
    <w:rsid w:val="00D16916"/>
    <w:rsid w:val="00D3751A"/>
    <w:rsid w:val="00D3789E"/>
    <w:rsid w:val="00D41867"/>
    <w:rsid w:val="00D57581"/>
    <w:rsid w:val="00D9246A"/>
    <w:rsid w:val="00DC2082"/>
    <w:rsid w:val="00DD3FCC"/>
    <w:rsid w:val="00E00CE3"/>
    <w:rsid w:val="00E146C8"/>
    <w:rsid w:val="00E2590D"/>
    <w:rsid w:val="00E3777E"/>
    <w:rsid w:val="00E50FA4"/>
    <w:rsid w:val="00E530E6"/>
    <w:rsid w:val="00E742C9"/>
    <w:rsid w:val="00E7779F"/>
    <w:rsid w:val="00E93D07"/>
    <w:rsid w:val="00EC51DD"/>
    <w:rsid w:val="00ED5B59"/>
    <w:rsid w:val="00EF7C5D"/>
    <w:rsid w:val="00F00E98"/>
    <w:rsid w:val="00F01A94"/>
    <w:rsid w:val="00F15346"/>
    <w:rsid w:val="00F22373"/>
    <w:rsid w:val="00F517A8"/>
    <w:rsid w:val="00F51EC9"/>
    <w:rsid w:val="00F7021A"/>
    <w:rsid w:val="00F8757D"/>
    <w:rsid w:val="00F914D6"/>
    <w:rsid w:val="00FA654E"/>
    <w:rsid w:val="00FB40B9"/>
    <w:rsid w:val="00FD0FC4"/>
    <w:rsid w:val="00FD41BC"/>
    <w:rsid w:val="00FE1B83"/>
    <w:rsid w:val="00FE720A"/>
    <w:rsid w:val="00FF7BB4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323C5"/>
  <w15:docId w15:val="{C9B66514-A559-4D83-8C83-C29FA1BA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aliases w:val="Normal bullet 2,Bullet list,Numbered List,List Paragraph1"/>
    <w:basedOn w:val="Normale"/>
    <w:link w:val="Elencoacolori-Colore1Carattere"/>
    <w:uiPriority w:val="34"/>
    <w:qFormat/>
    <w:rsid w:val="00381F7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Elencoacolori-Colore1Carattere">
    <w:name w:val="Elenco a colori - Colore 1 Carattere"/>
    <w:aliases w:val="Normal bullet 2 Carattere,Bullet list Carattere,Numbered List Carattere,List Paragraph1 Carattere"/>
    <w:link w:val="Elencoacolori-Colore11"/>
    <w:uiPriority w:val="34"/>
    <w:rsid w:val="00381F7B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6976C1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375D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5D83"/>
  </w:style>
  <w:style w:type="character" w:styleId="Numeropagina">
    <w:name w:val="page number"/>
    <w:basedOn w:val="Carpredefinitoparagrafo"/>
    <w:uiPriority w:val="99"/>
    <w:semiHidden/>
    <w:unhideWhenUsed/>
    <w:rsid w:val="00375D83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5726A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726A5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21D2D"/>
    <w:pPr>
      <w:spacing w:after="0" w:line="240" w:lineRule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21D2D"/>
    <w:rPr>
      <w:sz w:val="24"/>
      <w:szCs w:val="24"/>
    </w:rPr>
  </w:style>
  <w:style w:type="character" w:styleId="Rimandonotaapidipagina">
    <w:name w:val="footnote reference"/>
    <w:basedOn w:val="Carpredefinitoparagrafo"/>
    <w:uiPriority w:val="99"/>
    <w:unhideWhenUsed/>
    <w:rsid w:val="00621D2D"/>
    <w:rPr>
      <w:vertAlign w:val="superscript"/>
    </w:rPr>
  </w:style>
  <w:style w:type="paragraph" w:styleId="Testocommento">
    <w:name w:val="annotation text"/>
    <w:basedOn w:val="Normale"/>
    <w:link w:val="TestocommentoCarattere1"/>
    <w:uiPriority w:val="99"/>
    <w:semiHidden/>
    <w:rsid w:val="00417699"/>
    <w:pPr>
      <w:suppressAutoHyphens/>
      <w:spacing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stocommentoCarattere">
    <w:name w:val="Testo commento Carattere"/>
    <w:basedOn w:val="Carpredefinitoparagrafo"/>
    <w:uiPriority w:val="99"/>
    <w:semiHidden/>
    <w:rsid w:val="00417699"/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417699"/>
    <w:rPr>
      <w:rFonts w:ascii="Calibri" w:eastAsia="Times New Roman" w:hAnsi="Calibri" w:cs="Calibri"/>
      <w:sz w:val="20"/>
      <w:szCs w:val="20"/>
      <w:lang w:eastAsia="ar-SA"/>
    </w:rPr>
  </w:style>
  <w:style w:type="paragraph" w:customStyle="1" w:styleId="Default">
    <w:name w:val="Default"/>
    <w:rsid w:val="00B57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7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994A7-A913-4EF5-9F9D-9779003AE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4393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Centurelli</dc:creator>
  <cp:keywords/>
  <dc:description/>
  <cp:lastModifiedBy>MARIO MONSURRO'</cp:lastModifiedBy>
  <cp:revision>3</cp:revision>
  <cp:lastPrinted>2017-02-03T14:54:00Z</cp:lastPrinted>
  <dcterms:created xsi:type="dcterms:W3CDTF">2018-04-03T09:32:00Z</dcterms:created>
  <dcterms:modified xsi:type="dcterms:W3CDTF">2018-04-03T09:44:00Z</dcterms:modified>
  <cp:category/>
</cp:coreProperties>
</file>