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DDDCD33" w14:textId="77777777" w:rsidR="0008066E" w:rsidRDefault="0008066E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  <w:vanish/>
          <w:sz w:val="22"/>
          <w:szCs w:val="22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6379"/>
        <w:gridCol w:w="6578"/>
      </w:tblGrid>
      <w:tr w:rsidR="0008066E" w14:paraId="46FFDF33" w14:textId="77777777">
        <w:trPr>
          <w:cantSplit/>
          <w:tblHeader/>
        </w:trPr>
        <w:tc>
          <w:tcPr>
            <w:tcW w:w="13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15F0FF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Direzione Generale Tutela della Salute e Coordinamento del Sistema Sanitario Regionale</w:t>
            </w:r>
          </w:p>
          <w:p w14:paraId="51CB4DD0" w14:textId="376BB9AF" w:rsidR="0008066E" w:rsidRDefault="005E1193" w:rsidP="00B16253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UOD 15 - </w:t>
            </w:r>
            <w:r w:rsidR="00B16253">
              <w:rPr>
                <w:rFonts w:cs="Times New Roman"/>
                <w:sz w:val="20"/>
                <w:szCs w:val="20"/>
              </w:rPr>
              <w:t>Monitoraggio Beni e Servizi Sanitari</w:t>
            </w:r>
          </w:p>
          <w:p w14:paraId="7F7502F8" w14:textId="77777777" w:rsidR="00B16253" w:rsidRPr="00B16253" w:rsidRDefault="00B16253" w:rsidP="00B16253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08066E" w14:paraId="014C2D07" w14:textId="77777777" w:rsidTr="00E64AB0">
        <w:trPr>
          <w:cantSplit/>
          <w:trHeight w:val="151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229226" w14:textId="77777777" w:rsidR="0008066E" w:rsidRDefault="0008066E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4DA7DB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DENOMINAZIONE DEL PROCEDIMENTO</w:t>
            </w:r>
          </w:p>
          <w:p w14:paraId="6C2D2D2F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2, comma 2, lettera e) L.R. n. 11/2015;</w:t>
            </w:r>
          </w:p>
          <w:p w14:paraId="1C2B5FDC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47093118" w14:textId="77777777" w:rsidR="0008066E" w:rsidRDefault="0008066E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869A90" w14:textId="28AAD5E0" w:rsidR="00B96B67" w:rsidRDefault="00EE5527" w:rsidP="00811A43">
            <w:pPr>
              <w:pStyle w:val="TableContents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Determinazione </w:t>
            </w:r>
            <w:r w:rsidR="008E10E4">
              <w:rPr>
                <w:sz w:val="20"/>
                <w:szCs w:val="20"/>
              </w:rPr>
              <w:t xml:space="preserve"> </w:t>
            </w:r>
            <w:r w:rsidRPr="009F5589">
              <w:rPr>
                <w:sz w:val="20"/>
                <w:szCs w:val="20"/>
              </w:rPr>
              <w:t>in esito alle certificazioni inviate dagli Enti del SSR della Regione Campania,</w:t>
            </w:r>
            <w:r>
              <w:rPr>
                <w:sz w:val="20"/>
                <w:szCs w:val="20"/>
              </w:rPr>
              <w:t xml:space="preserve"> </w:t>
            </w:r>
            <w:r w:rsidRPr="009F5589">
              <w:rPr>
                <w:sz w:val="20"/>
                <w:szCs w:val="20"/>
              </w:rPr>
              <w:t xml:space="preserve">del fatturato </w:t>
            </w:r>
            <w:r>
              <w:rPr>
                <w:sz w:val="20"/>
                <w:szCs w:val="20"/>
              </w:rPr>
              <w:t>dei dispositivi medici</w:t>
            </w:r>
          </w:p>
          <w:p w14:paraId="46AD4C12" w14:textId="6CC94220" w:rsidR="00B96B67" w:rsidRPr="001E2E9F" w:rsidRDefault="00B96B67" w:rsidP="00811A43">
            <w:pPr>
              <w:pStyle w:val="TableContents"/>
              <w:jc w:val="both"/>
              <w:rPr>
                <w:sz w:val="20"/>
                <w:szCs w:val="20"/>
              </w:rPr>
            </w:pPr>
          </w:p>
        </w:tc>
      </w:tr>
      <w:tr w:rsidR="0008066E" w14:paraId="7589282E" w14:textId="77777777" w:rsidTr="00173F8C">
        <w:trPr>
          <w:cantSplit/>
          <w:trHeight w:val="126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681AE4" w14:textId="77777777" w:rsidR="0008066E" w:rsidRDefault="0008066E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DC8341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DESCRIZIONE DEL PROCEDIMENTO</w:t>
            </w:r>
          </w:p>
          <w:p w14:paraId="7CA44587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a) D. Lgs. n. 33/2013;</w:t>
            </w:r>
          </w:p>
          <w:p w14:paraId="450C41FB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11/2015;</w:t>
            </w:r>
          </w:p>
          <w:p w14:paraId="024C106E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20, comma 2, L. R. n. 11/2015;</w:t>
            </w:r>
          </w:p>
          <w:p w14:paraId="3B1F020F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2F9ED8D6" w14:textId="77777777" w:rsidR="0008066E" w:rsidRDefault="0008066E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F15CFC" w14:textId="5E6E433C" w:rsidR="0008066E" w:rsidRPr="001E2E9F" w:rsidRDefault="00B65870" w:rsidP="006D6717">
            <w:pPr>
              <w:pStyle w:val="TableContents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Procedur</w:t>
            </w:r>
            <w:r w:rsidR="000C5ECC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 xml:space="preserve"> di determinazione</w:t>
            </w:r>
            <w:r w:rsidR="00973A62">
              <w:rPr>
                <w:sz w:val="20"/>
                <w:szCs w:val="20"/>
              </w:rPr>
              <w:t xml:space="preserve"> e ss.mm.ii.</w:t>
            </w:r>
            <w:r>
              <w:rPr>
                <w:sz w:val="20"/>
                <w:szCs w:val="20"/>
              </w:rPr>
              <w:t xml:space="preserve"> </w:t>
            </w:r>
            <w:r w:rsidR="009F5589" w:rsidRPr="009F5589">
              <w:rPr>
                <w:sz w:val="20"/>
                <w:szCs w:val="20"/>
              </w:rPr>
              <w:t>in esito alle certificazioni inviate dagli Enti del SSR della Regione Campania,</w:t>
            </w:r>
            <w:r>
              <w:rPr>
                <w:sz w:val="20"/>
                <w:szCs w:val="20"/>
              </w:rPr>
              <w:t xml:space="preserve"> </w:t>
            </w:r>
            <w:r w:rsidR="009F5589" w:rsidRPr="009F5589">
              <w:rPr>
                <w:sz w:val="20"/>
                <w:szCs w:val="20"/>
              </w:rPr>
              <w:t xml:space="preserve">del fatturato totale (al lordo dell’IVA) per </w:t>
            </w:r>
            <w:r w:rsidR="006D6717">
              <w:rPr>
                <w:sz w:val="20"/>
                <w:szCs w:val="20"/>
              </w:rPr>
              <w:t xml:space="preserve">gli anni </w:t>
            </w:r>
            <w:r w:rsidR="00B96B67">
              <w:rPr>
                <w:sz w:val="20"/>
                <w:szCs w:val="20"/>
              </w:rPr>
              <w:t xml:space="preserve">2019, </w:t>
            </w:r>
            <w:r w:rsidR="006D6717">
              <w:rPr>
                <w:sz w:val="20"/>
                <w:szCs w:val="20"/>
              </w:rPr>
              <w:t xml:space="preserve">2020 e 2021 </w:t>
            </w:r>
            <w:r>
              <w:rPr>
                <w:sz w:val="20"/>
                <w:szCs w:val="20"/>
              </w:rPr>
              <w:t>dei dispositivi medici</w:t>
            </w:r>
            <w:r w:rsidR="009F5589" w:rsidRPr="009F5589">
              <w:rPr>
                <w:sz w:val="20"/>
                <w:szCs w:val="20"/>
              </w:rPr>
              <w:t xml:space="preserve"> </w:t>
            </w:r>
            <w:r w:rsidR="006D6717" w:rsidRPr="006D6717">
              <w:rPr>
                <w:sz w:val="20"/>
                <w:szCs w:val="20"/>
              </w:rPr>
              <w:t>con separata evidenza del valore dei dispositivi medici utilizzati per fronteggiare</w:t>
            </w:r>
            <w:r w:rsidR="006D6717">
              <w:rPr>
                <w:sz w:val="20"/>
                <w:szCs w:val="20"/>
              </w:rPr>
              <w:t xml:space="preserve"> </w:t>
            </w:r>
            <w:r w:rsidR="006D6717" w:rsidRPr="006D6717">
              <w:rPr>
                <w:sz w:val="20"/>
                <w:szCs w:val="20"/>
              </w:rPr>
              <w:t>l’emergenza pandemica</w:t>
            </w:r>
            <w:r w:rsidR="006D6717">
              <w:rPr>
                <w:sz w:val="20"/>
                <w:szCs w:val="20"/>
              </w:rPr>
              <w:t xml:space="preserve">, </w:t>
            </w:r>
            <w:r w:rsidR="009F5589" w:rsidRPr="009F5589">
              <w:rPr>
                <w:sz w:val="20"/>
                <w:szCs w:val="20"/>
              </w:rPr>
              <w:t>ai fini della certificazione</w:t>
            </w:r>
            <w:r>
              <w:rPr>
                <w:sz w:val="20"/>
                <w:szCs w:val="20"/>
              </w:rPr>
              <w:t xml:space="preserve"> </w:t>
            </w:r>
            <w:r w:rsidR="009F5589" w:rsidRPr="009F5589">
              <w:rPr>
                <w:sz w:val="20"/>
                <w:szCs w:val="20"/>
              </w:rPr>
              <w:t>dello scostamento rispetto al tetto di spesa al fine di dare piena applicazione al disposto</w:t>
            </w:r>
            <w:r>
              <w:rPr>
                <w:sz w:val="20"/>
                <w:szCs w:val="20"/>
              </w:rPr>
              <w:t xml:space="preserve"> </w:t>
            </w:r>
            <w:r w:rsidR="009F5589" w:rsidRPr="009F5589">
              <w:rPr>
                <w:sz w:val="20"/>
                <w:szCs w:val="20"/>
              </w:rPr>
              <w:t>normativo di cui all’art.9-ter del D.L. 78/2015, convertito con modificazioni di Legge 125/2015</w:t>
            </w:r>
          </w:p>
        </w:tc>
      </w:tr>
      <w:tr w:rsidR="005E1193" w14:paraId="20CEC407" w14:textId="77777777" w:rsidTr="00310BC4">
        <w:trPr>
          <w:cantSplit/>
          <w:trHeight w:val="13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D757A3" w14:textId="77777777" w:rsidR="005E1193" w:rsidRDefault="005E1193" w:rsidP="005E1193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49C37C" w14:textId="77777777" w:rsidR="005E1193" w:rsidRDefault="005E1193" w:rsidP="005E1193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UNITÀ ORGANIZZATIVA RESPONSABILE DELL’ISTRUTTORIA, UNITAMENTE AI RECAPITI TELEFONICI ED ALLA CASELLA DI POSTA ELETTRONICA ISTITUZIONALE</w:t>
            </w:r>
          </w:p>
          <w:p w14:paraId="39DD3986" w14:textId="77777777" w:rsidR="005E1193" w:rsidRDefault="005E1193" w:rsidP="005E1193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</w:rPr>
              <w:t>(Art. 35, comma 1, lettere b) e c) D. Lgs. n. 33/2013</w:t>
            </w:r>
          </w:p>
          <w:p w14:paraId="76F49C79" w14:textId="77777777" w:rsidR="005E1193" w:rsidRDefault="005E1193" w:rsidP="005E1193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Art. 2, comma 2, lettera e) L.R. n. 11/2015)</w:t>
            </w:r>
          </w:p>
          <w:p w14:paraId="2123C326" w14:textId="77777777" w:rsidR="005E1193" w:rsidRDefault="005E1193" w:rsidP="005E1193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23682A" w14:textId="77777777" w:rsidR="005E1193" w:rsidRDefault="005E1193" w:rsidP="005E1193">
            <w:pPr>
              <w:pStyle w:val="TableContents"/>
              <w:snapToGrid w:val="0"/>
              <w:jc w:val="center"/>
              <w:rPr>
                <w:rFonts w:cs="Times New Roman"/>
                <w:kern w:val="2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UOD 15-Monitoraggio beni e servizi sanitari e non sanitari</w:t>
            </w:r>
          </w:p>
          <w:p w14:paraId="1B600AD9" w14:textId="0ED82BA5" w:rsidR="005E1193" w:rsidRDefault="005E1193" w:rsidP="005E1193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Dr.</w:t>
            </w:r>
            <w:r w:rsidR="008E10E4">
              <w:rPr>
                <w:rFonts w:cs="Times New Roman"/>
                <w:sz w:val="20"/>
                <w:szCs w:val="20"/>
              </w:rPr>
              <w:t xml:space="preserve"> Giovanni Ungaro</w:t>
            </w:r>
          </w:p>
          <w:p w14:paraId="4E8CD669" w14:textId="47AEEDCD" w:rsidR="005E1193" w:rsidRDefault="00DC7111" w:rsidP="005E1193">
            <w:pPr>
              <w:pStyle w:val="TableContents"/>
              <w:jc w:val="center"/>
              <w:rPr>
                <w:rStyle w:val="Collegamentoipertestuale"/>
              </w:rPr>
            </w:pPr>
            <w:hyperlink r:id="rId7" w:history="1">
              <w:r w:rsidR="008E10E4" w:rsidRPr="00384FBA">
                <w:rPr>
                  <w:rStyle w:val="Collegamentoipertestuale"/>
                  <w:sz w:val="20"/>
                  <w:szCs w:val="20"/>
                </w:rPr>
                <w:t>giovanni.ungaro@regione.campania.it</w:t>
              </w:r>
            </w:hyperlink>
          </w:p>
          <w:p w14:paraId="0C0A6119" w14:textId="77777777" w:rsidR="005E1193" w:rsidRDefault="005E1193" w:rsidP="005E1193">
            <w:pPr>
              <w:pStyle w:val="TableContents"/>
              <w:jc w:val="center"/>
              <w:rPr>
                <w:rStyle w:val="Collegamentoipertestuale"/>
              </w:rPr>
            </w:pPr>
            <w:r>
              <w:rPr>
                <w:rStyle w:val="Collegamentoipertestuale"/>
                <w:sz w:val="20"/>
                <w:szCs w:val="20"/>
              </w:rPr>
              <w:t>dg04.monitoraggiobeni@pec.regione.campania.it</w:t>
            </w:r>
          </w:p>
          <w:p w14:paraId="299A557F" w14:textId="053BC597" w:rsidR="005E1193" w:rsidRDefault="005E1193" w:rsidP="005E1193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081 7969360</w:t>
            </w:r>
          </w:p>
        </w:tc>
      </w:tr>
      <w:tr w:rsidR="005E1193" w14:paraId="6894E4D1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4300AF" w14:textId="77777777" w:rsidR="005E1193" w:rsidRDefault="005E1193" w:rsidP="005E1193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7DFFA2" w14:textId="77777777" w:rsidR="005E1193" w:rsidRDefault="005E1193" w:rsidP="005E1193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NOMINATIVO, RECAPITI TELEFONICI E CASELLA DI POSTA ELETTRONICA ISTITUZIONALE DEL RESPONSABILE DEL PROCEDIMENTO</w:t>
            </w:r>
          </w:p>
          <w:p w14:paraId="1CC4BD53" w14:textId="77777777" w:rsidR="005E1193" w:rsidRDefault="005E1193" w:rsidP="005E1193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(Art. 2, comma 2, lettera e) e art. 12, comma 4, L.R. n. 11/2015)</w:t>
            </w:r>
          </w:p>
          <w:p w14:paraId="429FD9F7" w14:textId="77777777" w:rsidR="005E1193" w:rsidRDefault="005E1193" w:rsidP="005E1193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17EC99" w14:textId="77777777" w:rsidR="005E1193" w:rsidRDefault="005E1193" w:rsidP="005E1193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UOD 15-Monitoraggio beni e servizi sanitari e non sanitari</w:t>
            </w:r>
          </w:p>
          <w:p w14:paraId="6DDC9301" w14:textId="77777777" w:rsidR="005E1193" w:rsidRDefault="005E1193" w:rsidP="005E1193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Dr.ssa Simona.Gentile</w:t>
            </w:r>
          </w:p>
          <w:p w14:paraId="42007D02" w14:textId="77777777" w:rsidR="005E1193" w:rsidRDefault="00DC7111" w:rsidP="005E1193">
            <w:pPr>
              <w:pStyle w:val="TableContents"/>
              <w:jc w:val="center"/>
              <w:rPr>
                <w:rStyle w:val="Collegamentoipertestuale"/>
              </w:rPr>
            </w:pPr>
            <w:hyperlink r:id="rId8" w:history="1">
              <w:r w:rsidR="005E1193">
                <w:rPr>
                  <w:rStyle w:val="Collegamentoipertestuale"/>
                  <w:sz w:val="20"/>
                  <w:szCs w:val="20"/>
                </w:rPr>
                <w:t>simona.gentile@regione.campania.it</w:t>
              </w:r>
            </w:hyperlink>
          </w:p>
          <w:p w14:paraId="27C88215" w14:textId="77777777" w:rsidR="005E1193" w:rsidRDefault="005E1193" w:rsidP="005E1193">
            <w:pPr>
              <w:pStyle w:val="TableContents"/>
              <w:jc w:val="center"/>
              <w:rPr>
                <w:rStyle w:val="Collegamentoipertestuale"/>
              </w:rPr>
            </w:pPr>
            <w:r>
              <w:rPr>
                <w:rStyle w:val="Collegamentoipertestuale"/>
                <w:sz w:val="20"/>
                <w:szCs w:val="20"/>
              </w:rPr>
              <w:t>dg04.monitoraggiobeni@pec.regione.campania.it</w:t>
            </w:r>
          </w:p>
          <w:p w14:paraId="7AECC6D5" w14:textId="523316A0" w:rsidR="005E1193" w:rsidRPr="005107D9" w:rsidRDefault="005E1193" w:rsidP="005E1193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081 7969360</w:t>
            </w:r>
          </w:p>
        </w:tc>
      </w:tr>
      <w:tr w:rsidR="005E1193" w14:paraId="7B0F143F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1B277A" w14:textId="77777777" w:rsidR="005E1193" w:rsidRDefault="005E1193" w:rsidP="005E1193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C64F55" w14:textId="77777777" w:rsidR="005E1193" w:rsidRDefault="005E1193" w:rsidP="005E1193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ISTITUZIONALE </w:t>
            </w:r>
          </w:p>
          <w:p w14:paraId="59DE4BD1" w14:textId="77777777" w:rsidR="005E1193" w:rsidRDefault="005E1193" w:rsidP="005E1193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(Art. 35, comma 1, lettera c) D. Lgs. n. 33/2013</w:t>
            </w:r>
          </w:p>
          <w:p w14:paraId="400F65E5" w14:textId="77777777" w:rsidR="005E1193" w:rsidRDefault="005E1193" w:rsidP="005E1193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Art. 2, comma 2, lettera e) L.R. n. 11/2015)</w:t>
            </w:r>
          </w:p>
          <w:p w14:paraId="29C4DB48" w14:textId="77777777" w:rsidR="005E1193" w:rsidRDefault="005E1193" w:rsidP="005E1193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F7DE68" w14:textId="77777777" w:rsidR="005E1193" w:rsidRDefault="005E1193" w:rsidP="005E1193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DG 50.04.00 - Direzione Generale per la Tutela della salute e il Coordinamento del Sistema Sanitario regionale</w:t>
            </w:r>
          </w:p>
          <w:p w14:paraId="1C1BECF0" w14:textId="77777777" w:rsidR="005E1193" w:rsidRDefault="005E1193" w:rsidP="005E1193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Avv. Antonio Postiglione</w:t>
            </w:r>
          </w:p>
          <w:p w14:paraId="765D6CA8" w14:textId="77777777" w:rsidR="005E1193" w:rsidRDefault="00DC7111" w:rsidP="005E1193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hyperlink r:id="rId9" w:history="1">
              <w:r w:rsidR="005E1193">
                <w:rPr>
                  <w:rStyle w:val="Collegamentoipertestuale"/>
                  <w:rFonts w:cs="Times New Roman"/>
                  <w:color w:val="00498F"/>
                  <w:sz w:val="20"/>
                  <w:szCs w:val="20"/>
                  <w:shd w:val="clear" w:color="auto" w:fill="FFFFFF"/>
                </w:rPr>
                <w:t>dg.04@regione.campania.it</w:t>
              </w:r>
            </w:hyperlink>
            <w:r w:rsidR="005E1193">
              <w:rPr>
                <w:rFonts w:cs="Times New Roman"/>
                <w:color w:val="5E5E5E"/>
                <w:sz w:val="20"/>
                <w:szCs w:val="20"/>
              </w:rPr>
              <w:br/>
            </w:r>
            <w:hyperlink r:id="rId10" w:history="1">
              <w:r w:rsidR="005E1193">
                <w:rPr>
                  <w:rStyle w:val="Collegamentoipertestuale"/>
                  <w:rFonts w:cs="Times New Roman"/>
                  <w:color w:val="00498F"/>
                  <w:sz w:val="20"/>
                  <w:szCs w:val="20"/>
                  <w:shd w:val="clear" w:color="auto" w:fill="FFFFFF"/>
                </w:rPr>
                <w:t>dg.500400@pec.regione.campania.it</w:t>
              </w:r>
            </w:hyperlink>
          </w:p>
          <w:p w14:paraId="001D31E0" w14:textId="791E4F15" w:rsidR="005E1193" w:rsidRDefault="005E1193" w:rsidP="005E1193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0817969978 – 0817969772</w:t>
            </w:r>
          </w:p>
        </w:tc>
      </w:tr>
      <w:tr w:rsidR="00E64AB0" w14:paraId="302CBC92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88A5BC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4ACDEC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NORMATIVA STATALE APPLICABILE</w:t>
            </w:r>
          </w:p>
          <w:p w14:paraId="5DCAD284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a) D. Lgs. n. 33/2013</w:t>
            </w:r>
          </w:p>
          <w:p w14:paraId="48FAEE7D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5D9C17C3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20, comma 2, L. R. n. 11/2015)</w:t>
            </w:r>
          </w:p>
          <w:p w14:paraId="48487253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BC5B5" w14:textId="2D1BFA7C" w:rsidR="00E64AB0" w:rsidRDefault="00DC7111" w:rsidP="00DC7111">
            <w:pPr>
              <w:pStyle w:val="TableContents"/>
              <w:jc w:val="center"/>
            </w:pPr>
            <w:r w:rsidRPr="009F5589">
              <w:rPr>
                <w:sz w:val="20"/>
                <w:szCs w:val="20"/>
              </w:rPr>
              <w:t>D.L. 78/2015, convertito con modificazioni di Legge 125/2015</w:t>
            </w:r>
            <w:r>
              <w:rPr>
                <w:sz w:val="20"/>
                <w:szCs w:val="20"/>
              </w:rPr>
              <w:t xml:space="preserve"> e ss.mm.ii.</w:t>
            </w:r>
          </w:p>
        </w:tc>
      </w:tr>
      <w:tr w:rsidR="00E64AB0" w14:paraId="76004317" w14:textId="77777777">
        <w:trPr>
          <w:cantSplit/>
          <w:trHeight w:val="105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4B04C8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033B08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NORMATIVA REGIONALE APPLICABILE</w:t>
            </w:r>
          </w:p>
          <w:p w14:paraId="62FC7B98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(Art. 35, comma 1, lettera a) D. Lgs. n. 33/2013</w:t>
            </w:r>
          </w:p>
          <w:p w14:paraId="0B1E6052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2761E50F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20, comma 2, L. R. n. 11/2015)</w:t>
            </w:r>
          </w:p>
          <w:p w14:paraId="719D3DEC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5D7FE5" w14:textId="1D39F690" w:rsidR="00E64AB0" w:rsidRDefault="00DC7111" w:rsidP="00E64AB0">
            <w:pPr>
              <w:pStyle w:val="TableContents"/>
              <w:jc w:val="center"/>
            </w:pPr>
            <w:r w:rsidRPr="00DC7111">
              <w:rPr>
                <w:sz w:val="20"/>
                <w:szCs w:val="20"/>
              </w:rPr>
              <w:t>Circolari Direzione Generale per la Salute</w:t>
            </w:r>
            <w:r>
              <w:rPr>
                <w:sz w:val="20"/>
                <w:szCs w:val="20"/>
              </w:rPr>
              <w:t xml:space="preserve"> </w:t>
            </w:r>
            <w:r w:rsidRPr="00DC7111">
              <w:rPr>
                <w:sz w:val="20"/>
                <w:szCs w:val="20"/>
              </w:rPr>
              <w:t>con nota prot. n.561323 del 21.11.2023,</w:t>
            </w:r>
          </w:p>
        </w:tc>
      </w:tr>
      <w:tr w:rsidR="00E64AB0" w14:paraId="0238CD74" w14:textId="77777777">
        <w:trPr>
          <w:cantSplit/>
          <w:trHeight w:val="105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1AAD77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7D551F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DISCIPLINA DI DETTAGLIO DEL PROCEDIMENTO: 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14:paraId="30374428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(</w:t>
            </w:r>
            <w:r>
              <w:rPr>
                <w:rFonts w:cs="Times New Roman"/>
                <w:sz w:val="20"/>
                <w:szCs w:val="20"/>
              </w:rPr>
              <w:t>Art. 35, comma 1, lettera a) D. Lgs. n. 33/2013</w:t>
            </w:r>
          </w:p>
          <w:p w14:paraId="533E7E5C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12, commi 1 e 2, L.R. n. 11/2015)</w:t>
            </w:r>
          </w:p>
          <w:p w14:paraId="1F82625F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C1CF42" w14:textId="18CBF066" w:rsidR="00E64AB0" w:rsidRDefault="00DC7111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DD n. 938 del 29.12.2023</w:t>
            </w:r>
          </w:p>
        </w:tc>
      </w:tr>
      <w:tr w:rsidR="00E64AB0" w14:paraId="72CCB80D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2E90A3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6FB196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ATTI E DOCUMENTI DA ALLEGARE ALL'ISTANZA E MODULISTICA NECESSARIA, ANCHE AI SENSI DEL D. LGS. N. 222/2016 E RELATIVI PROVVEDIMENTI REGIONALI ATTUATIVI, COMPRESI I FAC-SIMILE PER LE AUTOCERTIFICAZIONI</w:t>
            </w:r>
          </w:p>
          <w:p w14:paraId="10FC6EFC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d) D. Lgs. n. 33/2013</w:t>
            </w:r>
          </w:p>
          <w:p w14:paraId="3F3A6275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Art. 12, commi 2 e 4, L.R. n. 11/2015</w:t>
            </w:r>
          </w:p>
          <w:p w14:paraId="3DE00316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55E34200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20, comma 2, L. R. n. 11/2015</w:t>
            </w:r>
          </w:p>
          <w:p w14:paraId="0A67E021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4E0E1B91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4471C1" w14:textId="11948FE0" w:rsidR="00E64AB0" w:rsidRDefault="00E64AB0" w:rsidP="00E64AB0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</w:rPr>
              <w:t>NO</w:t>
            </w:r>
          </w:p>
        </w:tc>
      </w:tr>
      <w:tr w:rsidR="00E70E74" w14:paraId="2B1E8182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BDBABE" w14:textId="77777777" w:rsidR="00E70E74" w:rsidRDefault="00E70E74" w:rsidP="00E70E74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B1D3C8" w14:textId="77777777" w:rsidR="00E70E74" w:rsidRDefault="00E70E74" w:rsidP="00E70E74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UFFICI AI QUALI RIVOLGERSI PER INFORMAZIONI, ORARI E MODALITÀ DI ACCESSO CON INDICAZIONE DEGLI INDIRIZZI, DEI RECAPITI TELEFONICI E DELLE CASELLE DI POSTA ELETTRONICA ISTITUZIONALE A CUI PRESENTARE LE ISTANZE</w:t>
            </w:r>
          </w:p>
          <w:p w14:paraId="48166171" w14:textId="77777777" w:rsidR="00E70E74" w:rsidRDefault="00E70E74" w:rsidP="00E70E74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d) D. Lgs. n. 33/2013</w:t>
            </w:r>
          </w:p>
          <w:p w14:paraId="1DA51853" w14:textId="77777777" w:rsidR="00E70E74" w:rsidRDefault="00E70E74" w:rsidP="00E70E74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61A2EDAF" w14:textId="77777777" w:rsidR="00E70E74" w:rsidRDefault="00E70E74" w:rsidP="00E70E74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2A3928" w14:textId="77777777" w:rsidR="00E70E74" w:rsidRPr="00257127" w:rsidRDefault="00E70E74" w:rsidP="00E70E74">
            <w:pPr>
              <w:pStyle w:val="NormaleWeb"/>
              <w:spacing w:before="0"/>
              <w:jc w:val="center"/>
              <w:rPr>
                <w:sz w:val="20"/>
                <w:szCs w:val="20"/>
              </w:rPr>
            </w:pPr>
            <w:r w:rsidRPr="00257127">
              <w:rPr>
                <w:sz w:val="20"/>
                <w:szCs w:val="20"/>
              </w:rPr>
              <w:t>DG 5004 UOD 15</w:t>
            </w:r>
          </w:p>
          <w:p w14:paraId="10DF5E05" w14:textId="77777777" w:rsidR="00E70E74" w:rsidRPr="00257127" w:rsidRDefault="00E70E74" w:rsidP="00E70E74">
            <w:pPr>
              <w:pStyle w:val="NormaleWeb"/>
              <w:spacing w:before="0"/>
              <w:jc w:val="center"/>
              <w:rPr>
                <w:sz w:val="20"/>
                <w:szCs w:val="20"/>
              </w:rPr>
            </w:pPr>
            <w:r w:rsidRPr="00257127">
              <w:rPr>
                <w:sz w:val="20"/>
                <w:szCs w:val="20"/>
              </w:rPr>
              <w:t xml:space="preserve">Tel </w:t>
            </w:r>
            <w:r w:rsidRPr="00257127">
              <w:rPr>
                <w:sz w:val="20"/>
                <w:szCs w:val="20"/>
                <w:shd w:val="clear" w:color="auto" w:fill="FFFFFF"/>
              </w:rPr>
              <w:t>081 7969360- 081 7969851</w:t>
            </w:r>
          </w:p>
          <w:p w14:paraId="76B22410" w14:textId="642698EA" w:rsidR="00E70E74" w:rsidRDefault="00E70E74" w:rsidP="00E70E74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257127">
              <w:rPr>
                <w:rFonts w:cs="Times New Roman"/>
                <w:sz w:val="20"/>
                <w:szCs w:val="20"/>
              </w:rPr>
              <w:t>dg04.monitoraggiobeni@pec.regione.campania.it</w:t>
            </w:r>
          </w:p>
        </w:tc>
      </w:tr>
      <w:tr w:rsidR="00E70E74" w14:paraId="3E4BB859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5B3044" w14:textId="77777777" w:rsidR="00E70E74" w:rsidRDefault="00E70E74" w:rsidP="00E70E74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578AF3" w14:textId="77777777" w:rsidR="00E70E74" w:rsidRDefault="00E70E74" w:rsidP="00E70E74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MODALITÀ CON LE QUALI GLI INTERESSATI POSSONO OTTENERE LE INFORMAZIONI RELATIVE AI PROCEDIMENTI IN CORSO CHE LI RIGUARDINO</w:t>
            </w:r>
          </w:p>
          <w:p w14:paraId="767A7BD8" w14:textId="77777777" w:rsidR="00E70E74" w:rsidRDefault="00E70E74" w:rsidP="00E70E74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e) D. Lgs. n. 33/2013)</w:t>
            </w:r>
          </w:p>
          <w:p w14:paraId="53EDF911" w14:textId="77777777" w:rsidR="00E70E74" w:rsidRDefault="00E70E74" w:rsidP="00E70E74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C54491" w14:textId="77777777" w:rsidR="00E70E74" w:rsidRPr="00257127" w:rsidRDefault="00E70E74" w:rsidP="00E70E74">
            <w:pPr>
              <w:pStyle w:val="NormaleWeb"/>
              <w:spacing w:before="0"/>
              <w:jc w:val="center"/>
              <w:rPr>
                <w:sz w:val="20"/>
                <w:szCs w:val="20"/>
              </w:rPr>
            </w:pPr>
            <w:r w:rsidRPr="00257127">
              <w:rPr>
                <w:sz w:val="20"/>
                <w:szCs w:val="20"/>
              </w:rPr>
              <w:t>DG 5004 UOD 15</w:t>
            </w:r>
          </w:p>
          <w:p w14:paraId="25E4364F" w14:textId="77777777" w:rsidR="00E70E74" w:rsidRPr="00257127" w:rsidRDefault="00E70E74" w:rsidP="00E70E74">
            <w:pPr>
              <w:pStyle w:val="NormaleWeb"/>
              <w:spacing w:before="0"/>
              <w:jc w:val="center"/>
              <w:rPr>
                <w:sz w:val="20"/>
                <w:szCs w:val="20"/>
              </w:rPr>
            </w:pPr>
            <w:r w:rsidRPr="00257127">
              <w:rPr>
                <w:sz w:val="20"/>
                <w:szCs w:val="20"/>
              </w:rPr>
              <w:t xml:space="preserve">Tel </w:t>
            </w:r>
            <w:r w:rsidRPr="00257127">
              <w:rPr>
                <w:sz w:val="20"/>
                <w:szCs w:val="20"/>
                <w:shd w:val="clear" w:color="auto" w:fill="FFFFFF"/>
              </w:rPr>
              <w:t>081 7969360- 081 7969851</w:t>
            </w:r>
          </w:p>
          <w:p w14:paraId="158584FE" w14:textId="3F04410D" w:rsidR="00E70E74" w:rsidRDefault="00E70E74" w:rsidP="00E70E74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257127">
              <w:rPr>
                <w:rFonts w:cs="Times New Roman"/>
                <w:sz w:val="20"/>
                <w:szCs w:val="20"/>
              </w:rPr>
              <w:t>dg04.monitoraggiobeni@pec.regione.campania.it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E64AB0" w14:paraId="348C63E0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EC1162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63E1BF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TERMINE FISSATO IN SEDE DI DISCIPLINA NORMATIVA DEL PROCEDIMENTO PER LA CONCLUSIONE CON L'ADOZIONE DI UN PROVVEDIMENTO ESPRESSO, CON INDICAZIONE DELLA NORMA CHE LO PREVEDE</w:t>
            </w:r>
          </w:p>
          <w:p w14:paraId="42D8540C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f) D. Lgs. n. 33/2013</w:t>
            </w:r>
          </w:p>
          <w:p w14:paraId="001D2D5A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7A6172C4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077CB554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451D93" w14:textId="7D13D33B" w:rsidR="00E64AB0" w:rsidRDefault="00ED5A61" w:rsidP="00E64AB0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</w:rPr>
              <w:t xml:space="preserve">DISCIPLINA </w:t>
            </w:r>
            <w:r w:rsidR="008E10E4">
              <w:rPr>
                <w:rFonts w:cs="Times New Roman"/>
                <w:sz w:val="20"/>
                <w:szCs w:val="20"/>
              </w:rPr>
              <w:t>NAZIONALE</w:t>
            </w:r>
            <w:r>
              <w:rPr>
                <w:rFonts w:cs="Times New Roman"/>
                <w:sz w:val="20"/>
                <w:szCs w:val="20"/>
              </w:rPr>
              <w:t xml:space="preserve"> DI SETTORE</w:t>
            </w:r>
          </w:p>
        </w:tc>
      </w:tr>
      <w:tr w:rsidR="00E64AB0" w14:paraId="2033BAEA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E04931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6494D9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OGNI ALTRO TERMINE PROCEDIMENTALE RILEVANTE, CON INDICAZIONE DELLA NORMA CHE LO PREVEDE</w:t>
            </w:r>
          </w:p>
          <w:p w14:paraId="70AF1D93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f) D. Lgs. n. 33/2013)</w:t>
            </w:r>
          </w:p>
          <w:p w14:paraId="090E7AF4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8FA182" w14:textId="3CAE833F" w:rsidR="00E64AB0" w:rsidRDefault="008E10E4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L.241/90 e SS.MM.II</w:t>
            </w:r>
          </w:p>
        </w:tc>
      </w:tr>
      <w:tr w:rsidR="00E64AB0" w14:paraId="40533013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966FCE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4C3901" w14:textId="77777777" w:rsidR="00E64AB0" w:rsidRDefault="00E64AB0" w:rsidP="00414442">
            <w:pPr>
              <w:pStyle w:val="TableContents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SE SI TRATTA DI PROCEDIMENTO PER IL QUALE IL PROVVEDIMENTO DELL’AMMINISTRAZIONE PUÒ ESSERE SOSTITUITO DA UNA DICHIARAZIONE DELL’INTERESSATO, PRECISARE SE L'ESERCIZIO DELL'ATTIVITÀ ECONOMICA DI IMPRESA E DI SERVIZI È SUBORDINATO:</w:t>
            </w:r>
          </w:p>
          <w:p w14:paraId="6833CF46" w14:textId="77777777" w:rsidR="00E64AB0" w:rsidRDefault="00E64AB0" w:rsidP="00414442">
            <w:pPr>
              <w:pStyle w:val="TableContents"/>
              <w:numPr>
                <w:ilvl w:val="0"/>
                <w:numId w:val="1"/>
              </w:numPr>
              <w:snapToGrid w:val="0"/>
              <w:jc w:val="both"/>
              <w:textAlignment w:val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 PREVIA COMUNICAZIONE;</w:t>
            </w:r>
          </w:p>
          <w:p w14:paraId="26A3B08F" w14:textId="77777777" w:rsidR="00E64AB0" w:rsidRDefault="00E64AB0" w:rsidP="00414442">
            <w:pPr>
              <w:pStyle w:val="TableContents"/>
              <w:numPr>
                <w:ilvl w:val="0"/>
                <w:numId w:val="1"/>
              </w:numPr>
              <w:snapToGrid w:val="0"/>
              <w:jc w:val="both"/>
              <w:textAlignment w:val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 SCIA, CON O SENZA ASSEVERAZIONE;</w:t>
            </w:r>
          </w:p>
          <w:p w14:paraId="70B928A6" w14:textId="77777777" w:rsidR="00E64AB0" w:rsidRDefault="00E64AB0" w:rsidP="00414442">
            <w:pPr>
              <w:pStyle w:val="TableContents"/>
              <w:numPr>
                <w:ilvl w:val="0"/>
                <w:numId w:val="1"/>
              </w:numPr>
              <w:snapToGrid w:val="0"/>
              <w:jc w:val="both"/>
              <w:textAlignment w:val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AD AUTORIZZAZIONI, LICENZE, NULLA OSTA, CONCESSIONI NON COSTITUTIVE, PERMESSI O PREVENTIVI ATTI DI ASSENSO, COMUNQUE DENOMINATI INDICANDO, ALTRESÌ, IL RELATIVO RIFERIMENTO NORMATIVO</w:t>
            </w:r>
          </w:p>
          <w:p w14:paraId="0A596C2F" w14:textId="77777777" w:rsidR="00E64AB0" w:rsidRDefault="00E64AB0" w:rsidP="00414442">
            <w:pPr>
              <w:pStyle w:val="TableContents"/>
              <w:snapToGri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g) D. Lgs. n. 33/2013)</w:t>
            </w:r>
          </w:p>
          <w:p w14:paraId="2397EE90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7D997" w14:textId="36AA5AF0" w:rsidR="00E64AB0" w:rsidRDefault="00E64AB0" w:rsidP="00E64AB0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</w:rPr>
              <w:t>NO</w:t>
            </w:r>
          </w:p>
        </w:tc>
      </w:tr>
      <w:tr w:rsidR="00E64AB0" w14:paraId="01B37BAA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6827E9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CFFBC7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OPERATIVITÀ DEL SILENZIO ASSENSO </w:t>
            </w:r>
          </w:p>
          <w:p w14:paraId="45FAA482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g) D. Lgs. n. 33/2013)</w:t>
            </w:r>
          </w:p>
          <w:p w14:paraId="3B85F74E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6D35BE" w14:textId="055BA3EE" w:rsidR="00E64AB0" w:rsidRDefault="00E64AB0" w:rsidP="00E64AB0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</w:rPr>
              <w:t>Il procedimento non può concludersi con il silenzio assenso</w:t>
            </w:r>
          </w:p>
        </w:tc>
      </w:tr>
      <w:tr w:rsidR="00E64AB0" w14:paraId="55A6C530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9BE0BA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0933B6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STRUMENTI DI TUTELA, AMMINISTRATIVA E GIURISDIZIONALE, RICONOSCIUTI DALLA LEGGE IN FAVORE DELL'INTERESSATO, NEL CORSO DEL PROCEDIMENTO E NEI CONFRONTI DEL PROVVEDIMENTO FINALE OVVERO NEI CASI DI ADOZIONE DEL PROVVEDIMENTO OLTRE IL TERMINE PREDETERMINATO PER LA SUA CONCLUSIONE E MODI PER ATTIVARLI</w:t>
            </w:r>
          </w:p>
          <w:p w14:paraId="3C11AC6D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h) D. Lgs. n. 33/2013)</w:t>
            </w:r>
          </w:p>
          <w:p w14:paraId="0D10AD3D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D2B641" w14:textId="713E3786" w:rsidR="00E64AB0" w:rsidRDefault="009E60BA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Autotutela amministrativa e rimedi amministrativi e giurisdizionali</w:t>
            </w:r>
          </w:p>
        </w:tc>
      </w:tr>
      <w:tr w:rsidR="00E64AB0" w14:paraId="2C24B0F5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E799A7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FE85FE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LINK DI ACCESSO AL SERVIZIO ON LINE O I TEMPI PREVISTI PER LA SUA ATTIVAZIONE</w:t>
            </w:r>
          </w:p>
          <w:p w14:paraId="73673185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i) D. Lgs. n. 33/2013)</w:t>
            </w:r>
          </w:p>
          <w:p w14:paraId="58E3A9C2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B574E" w14:textId="77777777" w:rsidR="00E64AB0" w:rsidRDefault="00E64AB0" w:rsidP="00E64AB0">
            <w:pPr>
              <w:pStyle w:val="Normale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http://www.regione.campania.it/regione/it/la-tua-campania/regione-casa-di-vetro</w:t>
            </w:r>
          </w:p>
          <w:p w14:paraId="30F46DCA" w14:textId="213BDDDE" w:rsidR="00E64AB0" w:rsidRDefault="00E64AB0" w:rsidP="00E64AB0">
            <w:pPr>
              <w:pStyle w:val="TableContents"/>
              <w:snapToGrid w:val="0"/>
              <w:jc w:val="center"/>
            </w:pPr>
          </w:p>
        </w:tc>
      </w:tr>
      <w:tr w:rsidR="00E64AB0" w14:paraId="1A5C5B8B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A560ED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84273B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SPESE E DIRITTI PREVISTI, CON MODALITÀ PER L'EFFETTUAZIONE DEI RELATIVI PAGAMENTI</w:t>
            </w:r>
          </w:p>
          <w:p w14:paraId="25E1F90C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l) D. Lgs. n. 33/2013</w:t>
            </w:r>
          </w:p>
          <w:p w14:paraId="691C0970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73A303D9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D786D4" w14:textId="107CCCEC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Non previste</w:t>
            </w:r>
          </w:p>
        </w:tc>
      </w:tr>
      <w:tr w:rsidR="00E64AB0" w14:paraId="6AF2980E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30A5E1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58A665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</w:rPr>
              <w:t>NOMINATIVO</w:t>
            </w:r>
            <w:r>
              <w:rPr>
                <w:rFonts w:cs="Times New Roman"/>
                <w:sz w:val="20"/>
                <w:szCs w:val="20"/>
                <w:shd w:val="clear" w:color="auto" w:fill="FFFFFF"/>
              </w:rPr>
              <w:t>, RECAPITI TELEFONICI E CASELLE DI POSTA ELETTRONICA ISTITUZIONALE DEL SOGGETTO CUI È ATTRIBUITO IL POTERE SOSTITUTIVO, IN CASO DI INERZIA DEL RESPONSABILE NELL'ADOZIONE DEL PROVVEDIMENTO FINALE, NONCHÉ MODALITÀ PER ATTIVARE TALE POTERE</w:t>
            </w:r>
          </w:p>
          <w:p w14:paraId="18F43B9F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(Art. 35, comma 1, lettera m) D. Lgs. n. 33/2013)</w:t>
            </w:r>
          </w:p>
          <w:p w14:paraId="6CA00ED0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79566B" w14:textId="77777777" w:rsidR="005E1193" w:rsidRDefault="005E1193" w:rsidP="005E1193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DG 50.04.00 - Direzione Generale per la Tutela della salute e il Coordinamento del Sistema Sanitario regionale</w:t>
            </w:r>
          </w:p>
          <w:p w14:paraId="7CF52E32" w14:textId="77777777" w:rsidR="005E1193" w:rsidRDefault="005E1193" w:rsidP="005E1193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Avv. Antonio Postiglione</w:t>
            </w:r>
          </w:p>
          <w:p w14:paraId="64FA2082" w14:textId="77777777" w:rsidR="005E1193" w:rsidRDefault="00DC7111" w:rsidP="005E1193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hyperlink r:id="rId11" w:history="1">
              <w:r w:rsidR="005E1193">
                <w:rPr>
                  <w:rStyle w:val="Collegamentoipertestuale"/>
                  <w:rFonts w:cs="Times New Roman"/>
                  <w:color w:val="00498F"/>
                  <w:sz w:val="20"/>
                  <w:szCs w:val="20"/>
                  <w:shd w:val="clear" w:color="auto" w:fill="FFFFFF"/>
                </w:rPr>
                <w:t>dg.04@regione.campania.it</w:t>
              </w:r>
            </w:hyperlink>
            <w:r w:rsidR="005E1193">
              <w:rPr>
                <w:rFonts w:cs="Times New Roman"/>
                <w:color w:val="5E5E5E"/>
                <w:sz w:val="20"/>
                <w:szCs w:val="20"/>
              </w:rPr>
              <w:br/>
            </w:r>
            <w:hyperlink r:id="rId12" w:history="1">
              <w:r w:rsidR="005E1193">
                <w:rPr>
                  <w:rStyle w:val="Collegamentoipertestuale"/>
                  <w:rFonts w:cs="Times New Roman"/>
                  <w:color w:val="00498F"/>
                  <w:sz w:val="20"/>
                  <w:szCs w:val="20"/>
                  <w:shd w:val="clear" w:color="auto" w:fill="FFFFFF"/>
                </w:rPr>
                <w:t>dg.500400@pec.regione.campania.it</w:t>
              </w:r>
            </w:hyperlink>
          </w:p>
          <w:p w14:paraId="5365296A" w14:textId="6ABE0E3D" w:rsidR="009E60BA" w:rsidRDefault="005E1193" w:rsidP="005E1193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0817969978 – 0817969772</w:t>
            </w:r>
          </w:p>
        </w:tc>
      </w:tr>
      <w:tr w:rsidR="00E64AB0" w14:paraId="725B05B9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C0350A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BFA676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GLOSSARIO DEI TERMINI PRINCIPALI DI RIFERIMENTO</w:t>
            </w:r>
          </w:p>
          <w:p w14:paraId="0A61D104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(Art. 12, comma 4, L.R. n. 11/2015)</w:t>
            </w:r>
          </w:p>
          <w:p w14:paraId="659C3941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4D524C" w14:textId="4480FBFC" w:rsidR="00E64AB0" w:rsidRDefault="00F04835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GB"/>
              </w:rPr>
              <w:t xml:space="preserve">Dispositivi </w:t>
            </w:r>
            <w:r w:rsidR="00757EFD">
              <w:rPr>
                <w:rFonts w:cs="Times New Roman"/>
                <w:sz w:val="20"/>
                <w:szCs w:val="20"/>
                <w:lang w:val="en-GB"/>
              </w:rPr>
              <w:t>m</w:t>
            </w:r>
            <w:r>
              <w:rPr>
                <w:rFonts w:cs="Times New Roman"/>
                <w:sz w:val="20"/>
                <w:szCs w:val="20"/>
                <w:lang w:val="en-GB"/>
              </w:rPr>
              <w:t>edici</w:t>
            </w:r>
            <w:r w:rsidR="00ED5A61">
              <w:rPr>
                <w:rFonts w:cs="Times New Roman"/>
                <w:sz w:val="20"/>
                <w:szCs w:val="20"/>
                <w:lang w:val="en-GB"/>
              </w:rPr>
              <w:t>, tetti di spesa</w:t>
            </w:r>
          </w:p>
        </w:tc>
      </w:tr>
    </w:tbl>
    <w:p w14:paraId="28F77B6D" w14:textId="77777777" w:rsidR="009B0D50" w:rsidRDefault="009B0D50">
      <w:pPr>
        <w:pStyle w:val="Standard"/>
        <w:jc w:val="center"/>
      </w:pPr>
    </w:p>
    <w:sectPr w:rsidR="009B0D50">
      <w:footerReference w:type="default" r:id="rId13"/>
      <w:pgSz w:w="16838" w:h="11906" w:orient="landscape"/>
      <w:pgMar w:top="1134" w:right="1134" w:bottom="1134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F5B28B" w14:textId="77777777" w:rsidR="007A0E1D" w:rsidRDefault="007A0E1D">
      <w:r>
        <w:separator/>
      </w:r>
    </w:p>
  </w:endnote>
  <w:endnote w:type="continuationSeparator" w:id="0">
    <w:p w14:paraId="50158897" w14:textId="77777777" w:rsidR="007A0E1D" w:rsidRDefault="007A0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771F5" w14:textId="77777777" w:rsidR="0008066E" w:rsidRDefault="00491436">
    <w:pPr>
      <w:pStyle w:val="Pidipagina"/>
      <w:jc w:val="right"/>
    </w:pP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>
      <w:rPr>
        <w:rFonts w:cs="Arial"/>
        <w:sz w:val="18"/>
        <w:szCs w:val="18"/>
      </w:rPr>
      <w:t>4</w:t>
    </w:r>
    <w:r>
      <w:rPr>
        <w:rFonts w:cs="Arial"/>
        <w:sz w:val="18"/>
        <w:szCs w:val="18"/>
      </w:rPr>
      <w:fldChar w:fldCharType="end"/>
    </w:r>
  </w:p>
  <w:p w14:paraId="3EEB984C" w14:textId="77777777" w:rsidR="0008066E" w:rsidRDefault="0008066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74C43F" w14:textId="77777777" w:rsidR="007A0E1D" w:rsidRDefault="007A0E1D">
      <w:r>
        <w:separator/>
      </w:r>
    </w:p>
  </w:footnote>
  <w:footnote w:type="continuationSeparator" w:id="0">
    <w:p w14:paraId="2BD0D793" w14:textId="77777777" w:rsidR="007A0E1D" w:rsidRDefault="007A0E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724986322">
    <w:abstractNumId w:val="0"/>
  </w:num>
  <w:num w:numId="2" w16cid:durableId="1095856278">
    <w:abstractNumId w:val="1"/>
  </w:num>
  <w:num w:numId="3" w16cid:durableId="19272270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179"/>
    <w:rsid w:val="0008066E"/>
    <w:rsid w:val="000C5ECC"/>
    <w:rsid w:val="000E00B7"/>
    <w:rsid w:val="000F679D"/>
    <w:rsid w:val="0011759D"/>
    <w:rsid w:val="00120240"/>
    <w:rsid w:val="00173F8C"/>
    <w:rsid w:val="001B3CB6"/>
    <w:rsid w:val="001E2E9F"/>
    <w:rsid w:val="002D57BE"/>
    <w:rsid w:val="002E5529"/>
    <w:rsid w:val="00303179"/>
    <w:rsid w:val="00310BC4"/>
    <w:rsid w:val="00311EF7"/>
    <w:rsid w:val="00356BEE"/>
    <w:rsid w:val="00362584"/>
    <w:rsid w:val="00385FB8"/>
    <w:rsid w:val="00414442"/>
    <w:rsid w:val="00491436"/>
    <w:rsid w:val="004E0931"/>
    <w:rsid w:val="004E2151"/>
    <w:rsid w:val="004E76A6"/>
    <w:rsid w:val="005107D9"/>
    <w:rsid w:val="005234BC"/>
    <w:rsid w:val="0054010E"/>
    <w:rsid w:val="0055501E"/>
    <w:rsid w:val="00563DAF"/>
    <w:rsid w:val="00564935"/>
    <w:rsid w:val="005E1193"/>
    <w:rsid w:val="006B2D31"/>
    <w:rsid w:val="006D3A37"/>
    <w:rsid w:val="006D6717"/>
    <w:rsid w:val="007137C8"/>
    <w:rsid w:val="007303C3"/>
    <w:rsid w:val="00757EFD"/>
    <w:rsid w:val="00774544"/>
    <w:rsid w:val="00793CA3"/>
    <w:rsid w:val="007A0E1D"/>
    <w:rsid w:val="00811A43"/>
    <w:rsid w:val="00815F89"/>
    <w:rsid w:val="00876E5B"/>
    <w:rsid w:val="008E10E4"/>
    <w:rsid w:val="00902C2C"/>
    <w:rsid w:val="00916907"/>
    <w:rsid w:val="00973A62"/>
    <w:rsid w:val="0099437C"/>
    <w:rsid w:val="009B0D50"/>
    <w:rsid w:val="009E60BA"/>
    <w:rsid w:val="009F5589"/>
    <w:rsid w:val="00A46B6B"/>
    <w:rsid w:val="00B16253"/>
    <w:rsid w:val="00B65870"/>
    <w:rsid w:val="00B739C4"/>
    <w:rsid w:val="00B82134"/>
    <w:rsid w:val="00B96B67"/>
    <w:rsid w:val="00BC7439"/>
    <w:rsid w:val="00C36036"/>
    <w:rsid w:val="00C83DAD"/>
    <w:rsid w:val="00CC06C9"/>
    <w:rsid w:val="00CE1FA5"/>
    <w:rsid w:val="00D06C2D"/>
    <w:rsid w:val="00D12333"/>
    <w:rsid w:val="00DC7111"/>
    <w:rsid w:val="00E64AB0"/>
    <w:rsid w:val="00E70E74"/>
    <w:rsid w:val="00EB5FA4"/>
    <w:rsid w:val="00ED2AD9"/>
    <w:rsid w:val="00ED5A61"/>
    <w:rsid w:val="00EE5527"/>
    <w:rsid w:val="00F04835"/>
    <w:rsid w:val="00F14B75"/>
    <w:rsid w:val="00F7085D"/>
    <w:rsid w:val="00FD4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7B6B29B"/>
  <w15:chartTrackingRefBased/>
  <w15:docId w15:val="{8CD951EB-1D4D-44C3-A650-09E23C1C0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Carpredefinitoparagrafo3">
    <w:name w:val="Car. predefinito paragrafo3"/>
  </w:style>
  <w:style w:type="character" w:customStyle="1" w:styleId="Carpredefinitoparagrafo2">
    <w:name w:val="Car. predefinito paragrafo2"/>
  </w:style>
  <w:style w:type="character" w:customStyle="1" w:styleId="Carpredefinitoparagrafo1">
    <w:name w:val="Car. predefinito paragrafo1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Collegamentoipertestuale">
    <w:name w:val="Hyperlink"/>
    <w:rPr>
      <w:color w:val="0563C1"/>
      <w:u w:val="single"/>
    </w:rPr>
  </w:style>
  <w:style w:type="character" w:styleId="Menzionenonrisolta">
    <w:name w:val="Unresolved Mention"/>
    <w:rPr>
      <w:color w:val="808080"/>
      <w:shd w:val="clear" w:color="auto" w:fill="E6E6E6"/>
    </w:rPr>
  </w:style>
  <w:style w:type="character" w:customStyle="1" w:styleId="IntestazioneCarattere">
    <w:name w:val="Intestazione Carattere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PidipaginaCarattere">
    <w:name w:val="Piè di pagina Carattere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TestofumettoCarattere">
    <w:name w:val="Testo fumetto Carattere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customStyle="1" w:styleId="Intestazione3">
    <w:name w:val="Intestazione3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Textbody"/>
  </w:style>
  <w:style w:type="paragraph" w:customStyle="1" w:styleId="Didascalia3">
    <w:name w:val="Didascalia3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i/>
      <w:iCs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1">
    <w:name w:val="Didascalia1"/>
    <w:basedOn w:val="Standard"/>
    <w:pPr>
      <w:suppressLineNumbers/>
      <w:spacing w:before="120" w:after="120"/>
    </w:pPr>
    <w:rPr>
      <w:i/>
      <w:iCs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Default">
    <w:name w:val="Default"/>
    <w:basedOn w:val="Standard"/>
    <w:pPr>
      <w:autoSpaceDE w:val="0"/>
    </w:pPr>
    <w:rPr>
      <w:rFonts w:eastAsia="Times New Roman" w:cs="Times New Roman"/>
      <w:color w:val="000000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szCs w:val="21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Cs w:val="21"/>
    </w:rPr>
  </w:style>
  <w:style w:type="paragraph" w:styleId="NormaleWeb">
    <w:name w:val="Normal (Web)"/>
    <w:basedOn w:val="Normale"/>
    <w:pPr>
      <w:widowControl/>
      <w:suppressAutoHyphens w:val="0"/>
      <w:spacing w:before="280" w:after="119"/>
      <w:textAlignment w:val="auto"/>
    </w:pPr>
    <w:rPr>
      <w:rFonts w:eastAsia="Times New Roman" w:cs="Times New Roman"/>
      <w:lang w:eastAsia="ar-SA" w:bidi="ar-SA"/>
    </w:rPr>
  </w:style>
  <w:style w:type="paragraph" w:styleId="Testofumetto">
    <w:name w:val="Balloon Text"/>
    <w:basedOn w:val="Normale"/>
    <w:rPr>
      <w:rFonts w:ascii="Segoe UI" w:hAnsi="Segoe UI" w:cs="Segoe UI"/>
      <w:sz w:val="18"/>
      <w:szCs w:val="16"/>
    </w:rPr>
  </w:style>
  <w:style w:type="character" w:styleId="Enfasigrassetto">
    <w:name w:val="Strong"/>
    <w:basedOn w:val="Carpredefinitoparagrafo"/>
    <w:uiPriority w:val="22"/>
    <w:qFormat/>
    <w:rsid w:val="00ED2AD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926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imona.gentile@regione.campania.it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giovanni.ungaro@regione.campania.it" TargetMode="External"/><Relationship Id="rId12" Type="http://schemas.openxmlformats.org/officeDocument/2006/relationships/hyperlink" Target="mailto:dg.500400@pec.regione.campani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dg.04@regione.campania.it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dg.500400@pec.regione.campania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g.04@regione.campania.it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1097</Words>
  <Characters>6257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NOME E CODICE STRUTTURA</vt:lpstr>
    </vt:vector>
  </TitlesOfParts>
  <Company/>
  <LinksUpToDate>false</LinksUpToDate>
  <CharactersWithSpaces>7340</CharactersWithSpaces>
  <SharedDoc>false</SharedDoc>
  <HLinks>
    <vt:vector size="12" baseType="variant">
      <vt:variant>
        <vt:i4>4718641</vt:i4>
      </vt:variant>
      <vt:variant>
        <vt:i4>3</vt:i4>
      </vt:variant>
      <vt:variant>
        <vt:i4>0</vt:i4>
      </vt:variant>
      <vt:variant>
        <vt:i4>5</vt:i4>
      </vt:variant>
      <vt:variant>
        <vt:lpwstr>mailto:i@regione.campania.it</vt:lpwstr>
      </vt:variant>
      <vt:variant>
        <vt:lpwstr/>
      </vt:variant>
      <vt:variant>
        <vt:i4>6357076</vt:i4>
      </vt:variant>
      <vt:variant>
        <vt:i4>0</vt:i4>
      </vt:variant>
      <vt:variant>
        <vt:i4>0</vt:i4>
      </vt:variant>
      <vt:variant>
        <vt:i4>5</vt:i4>
      </vt:variant>
      <vt:variant>
        <vt:lpwstr>mailto:paolo.sarnelli@regione.campania.it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NOME E CODICE STRUTTURA</dc:title>
  <dc:subject/>
  <dc:creator>Federica Pasquino</dc:creator>
  <cp:keywords/>
  <cp:lastModifiedBy>SIMONA GENTILE</cp:lastModifiedBy>
  <cp:revision>37</cp:revision>
  <cp:lastPrinted>2018-07-05T08:56:00Z</cp:lastPrinted>
  <dcterms:created xsi:type="dcterms:W3CDTF">2024-03-04T10:44:00Z</dcterms:created>
  <dcterms:modified xsi:type="dcterms:W3CDTF">2024-03-07T09:48:00Z</dcterms:modified>
</cp:coreProperties>
</file>